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B405F" w14:textId="77777777" w:rsidR="001B5D8B" w:rsidRDefault="001B5D8B" w:rsidP="0008744A">
      <w:pPr>
        <w:pStyle w:val="NoSpacing"/>
        <w:pBdr>
          <w:bottom w:val="single" w:sz="4" w:space="1" w:color="auto"/>
        </w:pBdr>
        <w:rPr>
          <w:rFonts w:asciiTheme="minorHAnsi" w:hAnsiTheme="minorHAnsi"/>
          <w:b/>
          <w:i/>
          <w:sz w:val="18"/>
          <w:szCs w:val="18"/>
        </w:rPr>
      </w:pPr>
      <w:r w:rsidRPr="00096134">
        <w:rPr>
          <w:rFonts w:asciiTheme="minorHAnsi" w:hAnsiTheme="minorHAnsi"/>
          <w:b/>
          <w:sz w:val="18"/>
          <w:szCs w:val="18"/>
        </w:rPr>
        <w:t>“</w:t>
      </w:r>
      <w:r w:rsidRPr="00096134">
        <w:rPr>
          <w:rFonts w:asciiTheme="minorHAnsi" w:hAnsiTheme="minorHAnsi"/>
          <w:b/>
          <w:i/>
          <w:sz w:val="18"/>
          <w:szCs w:val="18"/>
        </w:rPr>
        <w:t>The Faculty Senate shall be the representative body of the faculty, deriving its authority from the faculty as per the Collective Bargaining Agreement.  Its primary function shall be to serve as the agency by which the faculty can actively participate in the governance and policy-making decisions of the University on the basis of the principle of shared authority.”  (Faculty Senate Constitution, Section I).</w:t>
      </w:r>
    </w:p>
    <w:p w14:paraId="502E29A4" w14:textId="77777777" w:rsidR="0008744A" w:rsidRPr="00096134" w:rsidRDefault="0008744A" w:rsidP="0008744A">
      <w:pPr>
        <w:pStyle w:val="NoSpacing"/>
        <w:pBdr>
          <w:bottom w:val="single" w:sz="4" w:space="1" w:color="auto"/>
        </w:pBdr>
        <w:rPr>
          <w:rFonts w:asciiTheme="minorHAnsi" w:hAnsiTheme="minorHAnsi"/>
          <w:b/>
          <w:i/>
          <w:sz w:val="18"/>
          <w:szCs w:val="18"/>
        </w:rPr>
      </w:pPr>
    </w:p>
    <w:p w14:paraId="34415381" w14:textId="77777777" w:rsidR="001B5D8B" w:rsidRDefault="001B5D8B" w:rsidP="001B5D8B">
      <w:pPr>
        <w:pStyle w:val="NoSpacing"/>
        <w:ind w:left="360"/>
        <w:rPr>
          <w:rFonts w:asciiTheme="minorHAnsi" w:hAnsiTheme="minorHAnsi"/>
          <w:b/>
          <w:i/>
          <w:sz w:val="22"/>
          <w:szCs w:val="22"/>
        </w:rPr>
      </w:pPr>
      <w:r w:rsidRPr="002F7385">
        <w:rPr>
          <w:rFonts w:asciiTheme="minorHAnsi" w:hAnsiTheme="minorHAnsi"/>
          <w:b/>
          <w:noProof/>
          <w:sz w:val="28"/>
          <w:szCs w:val="28"/>
          <w:lang w:eastAsia="zh-CN"/>
        </w:rPr>
        <mc:AlternateContent>
          <mc:Choice Requires="wps">
            <w:drawing>
              <wp:anchor distT="0" distB="0" distL="114300" distR="114300" simplePos="0" relativeHeight="251659264" behindDoc="0" locked="0" layoutInCell="1" allowOverlap="1" wp14:anchorId="6112AA8C" wp14:editId="2425AC5B">
                <wp:simplePos x="0" y="0"/>
                <wp:positionH relativeFrom="column">
                  <wp:posOffset>-62865</wp:posOffset>
                </wp:positionH>
                <wp:positionV relativeFrom="paragraph">
                  <wp:posOffset>20409</wp:posOffset>
                </wp:positionV>
                <wp:extent cx="6023950" cy="295821"/>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950" cy="295821"/>
                        </a:xfrm>
                        <a:prstGeom prst="rect">
                          <a:avLst/>
                        </a:prstGeom>
                        <a:solidFill>
                          <a:srgbClr val="FFFFFF"/>
                        </a:solidFill>
                        <a:ln w="9525">
                          <a:noFill/>
                          <a:miter lim="800000"/>
                          <a:headEnd/>
                          <a:tailEnd/>
                        </a:ln>
                      </wps:spPr>
                      <wps:txbx>
                        <w:txbxContent>
                          <w:p w14:paraId="4FF8372C" w14:textId="57F05FEA" w:rsidR="002F7385" w:rsidRPr="00096134" w:rsidRDefault="002F7385" w:rsidP="00096134">
                            <w:pPr>
                              <w:jc w:val="center"/>
                              <w:rPr>
                                <w:b/>
                                <w:sz w:val="24"/>
                                <w:szCs w:val="24"/>
                              </w:rPr>
                            </w:pPr>
                            <w:r w:rsidRPr="00096134">
                              <w:rPr>
                                <w:b/>
                                <w:sz w:val="24"/>
                                <w:szCs w:val="24"/>
                              </w:rPr>
                              <w:t xml:space="preserve">President’s Report to the Faculty Senate – </w:t>
                            </w:r>
                            <w:r w:rsidR="00337C10">
                              <w:rPr>
                                <w:b/>
                                <w:sz w:val="24"/>
                                <w:szCs w:val="24"/>
                              </w:rPr>
                              <w:t>March 8</w:t>
                            </w:r>
                            <w:r w:rsidR="004468BD">
                              <w:rPr>
                                <w:b/>
                                <w:sz w:val="24"/>
                                <w:szCs w:val="24"/>
                              </w:rPr>
                              <w:t>,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2AA8C" id="_x0000_t202" coordsize="21600,21600" o:spt="202" path="m0,0l0,21600,21600,21600,21600,0xe">
                <v:stroke joinstyle="miter"/>
                <v:path gradientshapeok="t" o:connecttype="rect"/>
              </v:shapetype>
              <v:shape id="Text Box 2" o:spid="_x0000_s1026" type="#_x0000_t202" style="position:absolute;left:0;text-align:left;margin-left:-4.95pt;margin-top:1.6pt;width:474.3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" stroked="f">
                <v:textbox>
                  <w:txbxContent>
                    <w:p w14:paraId="4FF8372C" w14:textId="57F05FEA" w:rsidR="002F7385" w:rsidRPr="00096134" w:rsidRDefault="002F7385" w:rsidP="00096134">
                      <w:pPr>
                        <w:jc w:val="center"/>
                        <w:rPr>
                          <w:b/>
                          <w:sz w:val="24"/>
                          <w:szCs w:val="24"/>
                        </w:rPr>
                      </w:pPr>
                      <w:r w:rsidRPr="00096134">
                        <w:rPr>
                          <w:b/>
                          <w:sz w:val="24"/>
                          <w:szCs w:val="24"/>
                        </w:rPr>
                        <w:t xml:space="preserve">President’s Report to the Faculty Senate – </w:t>
                      </w:r>
                      <w:r w:rsidR="00337C10">
                        <w:rPr>
                          <w:b/>
                          <w:sz w:val="24"/>
                          <w:szCs w:val="24"/>
                        </w:rPr>
                        <w:t>March 8</w:t>
                      </w:r>
                      <w:r w:rsidR="004468BD">
                        <w:rPr>
                          <w:b/>
                          <w:sz w:val="24"/>
                          <w:szCs w:val="24"/>
                        </w:rPr>
                        <w:t>, 2017</w:t>
                      </w:r>
                    </w:p>
                  </w:txbxContent>
                </v:textbox>
              </v:shape>
            </w:pict>
          </mc:Fallback>
        </mc:AlternateContent>
      </w:r>
    </w:p>
    <w:p w14:paraId="492D5148" w14:textId="77777777" w:rsidR="001B5D8B" w:rsidRPr="001B5D8B" w:rsidRDefault="001B5D8B" w:rsidP="001B5D8B">
      <w:pPr>
        <w:pStyle w:val="NoSpacing"/>
        <w:rPr>
          <w:rFonts w:asciiTheme="minorHAnsi" w:hAnsiTheme="minorHAnsi"/>
          <w:b/>
          <w:i/>
          <w:sz w:val="22"/>
          <w:szCs w:val="22"/>
        </w:rPr>
      </w:pPr>
    </w:p>
    <w:p w14:paraId="18A47E65" w14:textId="77777777" w:rsidR="00BB2E47" w:rsidRDefault="00BB2E47" w:rsidP="00337C10">
      <w:pPr>
        <w:pStyle w:val="NoSpacing"/>
        <w:rPr>
          <w:rFonts w:asciiTheme="minorHAnsi" w:hAnsiTheme="minorHAnsi"/>
          <w:sz w:val="20"/>
          <w:szCs w:val="20"/>
        </w:rPr>
      </w:pPr>
    </w:p>
    <w:p w14:paraId="46A6BD95" w14:textId="735E5EC0" w:rsidR="00925370" w:rsidRDefault="00925370" w:rsidP="00D16789">
      <w:pPr>
        <w:pStyle w:val="NoSpacing"/>
        <w:numPr>
          <w:ilvl w:val="0"/>
          <w:numId w:val="2"/>
        </w:numPr>
        <w:rPr>
          <w:rFonts w:asciiTheme="minorHAnsi" w:hAnsiTheme="minorHAnsi"/>
          <w:sz w:val="20"/>
          <w:szCs w:val="20"/>
        </w:rPr>
      </w:pPr>
      <w:r>
        <w:rPr>
          <w:rFonts w:asciiTheme="minorHAnsi" w:hAnsiTheme="minorHAnsi"/>
          <w:sz w:val="20"/>
          <w:szCs w:val="20"/>
        </w:rPr>
        <w:t xml:space="preserve">The call for nominations for the Robert </w:t>
      </w:r>
      <w:proofErr w:type="spellStart"/>
      <w:r>
        <w:rPr>
          <w:rFonts w:asciiTheme="minorHAnsi" w:hAnsiTheme="minorHAnsi"/>
          <w:sz w:val="20"/>
          <w:szCs w:val="20"/>
        </w:rPr>
        <w:t>Jirsa</w:t>
      </w:r>
      <w:proofErr w:type="spellEnd"/>
      <w:r>
        <w:rPr>
          <w:rFonts w:asciiTheme="minorHAnsi" w:hAnsiTheme="minorHAnsi"/>
          <w:sz w:val="20"/>
          <w:szCs w:val="20"/>
        </w:rPr>
        <w:t xml:space="preserve"> Service Award was sent out on March 2</w:t>
      </w:r>
      <w:r w:rsidRPr="00925370">
        <w:rPr>
          <w:rFonts w:asciiTheme="minorHAnsi" w:hAnsiTheme="minorHAnsi"/>
          <w:sz w:val="20"/>
          <w:szCs w:val="20"/>
          <w:vertAlign w:val="superscript"/>
        </w:rPr>
        <w:t>nd</w:t>
      </w:r>
      <w:r>
        <w:rPr>
          <w:rFonts w:asciiTheme="minorHAnsi" w:hAnsiTheme="minorHAnsi"/>
          <w:sz w:val="20"/>
          <w:szCs w:val="20"/>
        </w:rPr>
        <w:t xml:space="preserve">.  </w:t>
      </w:r>
      <w:r w:rsidR="005432B8">
        <w:rPr>
          <w:rFonts w:asciiTheme="minorHAnsi" w:hAnsiTheme="minorHAnsi"/>
          <w:sz w:val="20"/>
          <w:szCs w:val="20"/>
        </w:rPr>
        <w:t xml:space="preserve">Nominations will be accepted electronically by Wednesday, 3/22, 3:00 pm.  Nominations can be emailed to Drs. Mark Cameron or Maria Diamantis.  Nominees will be invited to submit an application portfolio by Thursday, 4/13, 4:30 pm.  The </w:t>
      </w:r>
      <w:proofErr w:type="spellStart"/>
      <w:r w:rsidR="005432B8">
        <w:rPr>
          <w:rFonts w:asciiTheme="minorHAnsi" w:hAnsiTheme="minorHAnsi"/>
          <w:sz w:val="20"/>
          <w:szCs w:val="20"/>
        </w:rPr>
        <w:t>Jirsa</w:t>
      </w:r>
      <w:proofErr w:type="spellEnd"/>
      <w:r w:rsidR="005432B8">
        <w:rPr>
          <w:rFonts w:asciiTheme="minorHAnsi" w:hAnsiTheme="minorHAnsi"/>
          <w:sz w:val="20"/>
          <w:szCs w:val="20"/>
        </w:rPr>
        <w:t xml:space="preserve"> Service Award committee will review all candidates and submit the finalist’s name to the Provost by Tuesday, 4/24.  The Awards Ceremony is scheduled for noon on Monday, May 1, 2017.  PLEASE REMIND YOUR COLLEAGUES IN YOUR DEPARTENTS.</w:t>
      </w:r>
      <w:r w:rsidR="00B97FBD">
        <w:rPr>
          <w:rFonts w:asciiTheme="minorHAnsi" w:hAnsiTheme="minorHAnsi"/>
          <w:sz w:val="20"/>
          <w:szCs w:val="20"/>
        </w:rPr>
        <w:t xml:space="preserve">  Further information can be found on the FS Website:  </w:t>
      </w:r>
      <w:hyperlink r:id="rId8" w:history="1">
        <w:r w:rsidR="00315A30" w:rsidRPr="004072C2">
          <w:rPr>
            <w:rStyle w:val="Hyperlink"/>
            <w:rFonts w:asciiTheme="minorHAnsi" w:hAnsiTheme="minorHAnsi"/>
            <w:sz w:val="20"/>
            <w:szCs w:val="20"/>
          </w:rPr>
          <w:t>https://www.southernct.edu/faculty-staff/faculty-senate/</w:t>
        </w:r>
      </w:hyperlink>
      <w:r w:rsidR="00315A30">
        <w:rPr>
          <w:rFonts w:asciiTheme="minorHAnsi" w:hAnsiTheme="minorHAnsi"/>
          <w:sz w:val="20"/>
          <w:szCs w:val="20"/>
        </w:rPr>
        <w:t xml:space="preserve"> and under Robert </w:t>
      </w:r>
      <w:proofErr w:type="spellStart"/>
      <w:r w:rsidR="00315A30">
        <w:rPr>
          <w:rFonts w:asciiTheme="minorHAnsi" w:hAnsiTheme="minorHAnsi"/>
          <w:sz w:val="20"/>
          <w:szCs w:val="20"/>
        </w:rPr>
        <w:t>Jirsa</w:t>
      </w:r>
      <w:proofErr w:type="spellEnd"/>
      <w:r w:rsidR="00315A30">
        <w:rPr>
          <w:rFonts w:asciiTheme="minorHAnsi" w:hAnsiTheme="minorHAnsi"/>
          <w:sz w:val="20"/>
          <w:szCs w:val="20"/>
        </w:rPr>
        <w:t xml:space="preserve"> Service Award (left hand side).</w:t>
      </w:r>
    </w:p>
    <w:p w14:paraId="562B70C6" w14:textId="77777777" w:rsidR="002A55D6" w:rsidRDefault="002A55D6" w:rsidP="002A55D6">
      <w:pPr>
        <w:pStyle w:val="NoSpacing"/>
        <w:ind w:left="360"/>
        <w:rPr>
          <w:rFonts w:asciiTheme="minorHAnsi" w:hAnsiTheme="minorHAnsi"/>
          <w:sz w:val="20"/>
          <w:szCs w:val="20"/>
        </w:rPr>
      </w:pPr>
    </w:p>
    <w:p w14:paraId="1D1BFFA7" w14:textId="158CEBBC" w:rsidR="002A55D6" w:rsidRDefault="002A55D6" w:rsidP="00D16789">
      <w:pPr>
        <w:pStyle w:val="NoSpacing"/>
        <w:numPr>
          <w:ilvl w:val="0"/>
          <w:numId w:val="2"/>
        </w:numPr>
        <w:rPr>
          <w:rFonts w:asciiTheme="minorHAnsi" w:hAnsiTheme="minorHAnsi"/>
          <w:sz w:val="20"/>
          <w:szCs w:val="20"/>
        </w:rPr>
      </w:pPr>
      <w:r>
        <w:rPr>
          <w:rFonts w:asciiTheme="minorHAnsi" w:hAnsiTheme="minorHAnsi"/>
          <w:sz w:val="20"/>
          <w:szCs w:val="20"/>
        </w:rPr>
        <w:t>The Midterm Grades and Attendance policy:  the FS passed t</w:t>
      </w:r>
      <w:r w:rsidR="00BE18BA">
        <w:rPr>
          <w:rFonts w:asciiTheme="minorHAnsi" w:hAnsiTheme="minorHAnsi"/>
          <w:sz w:val="20"/>
          <w:szCs w:val="20"/>
        </w:rPr>
        <w:t xml:space="preserve">wo resolutions last semester regarding reporting of non-attendance to DOE.  Faculty were asked to include such statement on their course syllabi thus, making students aware of the attendance policy.  Both resolutions can be found at the FS Website:  </w:t>
      </w:r>
      <w:hyperlink r:id="rId9" w:history="1">
        <w:r w:rsidR="00BE18BA" w:rsidRPr="004072C2">
          <w:rPr>
            <w:rStyle w:val="Hyperlink"/>
            <w:rFonts w:asciiTheme="minorHAnsi" w:hAnsiTheme="minorHAnsi"/>
            <w:sz w:val="20"/>
            <w:szCs w:val="20"/>
          </w:rPr>
          <w:t>http://www.southernct.edu/faculty-staff/faculty-senate/resolutionsbydate.html</w:t>
        </w:r>
      </w:hyperlink>
      <w:r w:rsidR="00BE18BA">
        <w:rPr>
          <w:rFonts w:asciiTheme="minorHAnsi" w:hAnsiTheme="minorHAnsi"/>
          <w:sz w:val="20"/>
          <w:szCs w:val="20"/>
        </w:rPr>
        <w:t xml:space="preserve">  Faculty are urged to enter FS for any student on their roster that is not attending classes since the third week of classes.  PLEASE REMIND YOUR COLLEAGUES IN YOUR DEPRTMENTS to comply to</w:t>
      </w:r>
      <w:r w:rsidR="00665B99">
        <w:rPr>
          <w:rFonts w:asciiTheme="minorHAnsi" w:hAnsiTheme="minorHAnsi"/>
          <w:sz w:val="20"/>
          <w:szCs w:val="20"/>
        </w:rPr>
        <w:t xml:space="preserve"> this request by Friday, March 10</w:t>
      </w:r>
      <w:r w:rsidR="00BE18BA">
        <w:rPr>
          <w:rFonts w:asciiTheme="minorHAnsi" w:hAnsiTheme="minorHAnsi"/>
          <w:sz w:val="20"/>
          <w:szCs w:val="20"/>
        </w:rPr>
        <w:t xml:space="preserve">, 2017.  The midterm grades </w:t>
      </w:r>
      <w:proofErr w:type="gramStart"/>
      <w:r w:rsidR="00BE18BA">
        <w:rPr>
          <w:rFonts w:asciiTheme="minorHAnsi" w:hAnsiTheme="minorHAnsi"/>
          <w:sz w:val="20"/>
          <w:szCs w:val="20"/>
        </w:rPr>
        <w:t>is</w:t>
      </w:r>
      <w:proofErr w:type="gramEnd"/>
      <w:r w:rsidR="00BE18BA">
        <w:rPr>
          <w:rFonts w:asciiTheme="minorHAnsi" w:hAnsiTheme="minorHAnsi"/>
          <w:sz w:val="20"/>
          <w:szCs w:val="20"/>
        </w:rPr>
        <w:t xml:space="preserve"> live for submission of grades, which are due by 8 am on Tuesday, March 22.</w:t>
      </w:r>
    </w:p>
    <w:p w14:paraId="0296147F" w14:textId="77777777" w:rsidR="00BE18BA" w:rsidRDefault="00BE18BA" w:rsidP="00BE18BA">
      <w:pPr>
        <w:pStyle w:val="NoSpacing"/>
        <w:rPr>
          <w:rFonts w:asciiTheme="minorHAnsi" w:hAnsiTheme="minorHAnsi"/>
          <w:sz w:val="20"/>
          <w:szCs w:val="20"/>
        </w:rPr>
      </w:pPr>
    </w:p>
    <w:p w14:paraId="72C72DA9" w14:textId="61CA4127" w:rsidR="00067494" w:rsidRPr="00067494" w:rsidRDefault="00BE18BA" w:rsidP="00067494">
      <w:pPr>
        <w:pStyle w:val="NoSpacing"/>
        <w:numPr>
          <w:ilvl w:val="0"/>
          <w:numId w:val="2"/>
        </w:numPr>
        <w:rPr>
          <w:rFonts w:asciiTheme="minorHAnsi" w:hAnsiTheme="minorHAnsi"/>
          <w:sz w:val="20"/>
          <w:szCs w:val="20"/>
        </w:rPr>
      </w:pPr>
      <w:r>
        <w:rPr>
          <w:rFonts w:asciiTheme="minorHAnsi" w:hAnsiTheme="minorHAnsi"/>
          <w:sz w:val="20"/>
          <w:szCs w:val="20"/>
        </w:rPr>
        <w:t xml:space="preserve">The P&amp;T committee met with President </w:t>
      </w:r>
      <w:proofErr w:type="spellStart"/>
      <w:r>
        <w:rPr>
          <w:rFonts w:asciiTheme="minorHAnsi" w:hAnsiTheme="minorHAnsi"/>
          <w:sz w:val="20"/>
          <w:szCs w:val="20"/>
        </w:rPr>
        <w:t>Bertolino</w:t>
      </w:r>
      <w:proofErr w:type="spellEnd"/>
      <w:r>
        <w:rPr>
          <w:rFonts w:asciiTheme="minorHAnsi" w:hAnsiTheme="minorHAnsi"/>
          <w:sz w:val="20"/>
          <w:szCs w:val="20"/>
        </w:rPr>
        <w:t xml:space="preserve"> and Provost </w:t>
      </w:r>
      <w:proofErr w:type="spellStart"/>
      <w:r>
        <w:rPr>
          <w:rFonts w:asciiTheme="minorHAnsi" w:hAnsiTheme="minorHAnsi"/>
          <w:sz w:val="20"/>
          <w:szCs w:val="20"/>
        </w:rPr>
        <w:t>Durnin</w:t>
      </w:r>
      <w:proofErr w:type="spellEnd"/>
      <w:r>
        <w:rPr>
          <w:rFonts w:asciiTheme="minorHAnsi" w:hAnsiTheme="minorHAnsi"/>
          <w:sz w:val="20"/>
          <w:szCs w:val="20"/>
        </w:rPr>
        <w:t xml:space="preserve"> to discuss the </w:t>
      </w:r>
      <w:r w:rsidR="000A1A36">
        <w:rPr>
          <w:rFonts w:asciiTheme="minorHAnsi" w:hAnsiTheme="minorHAnsi"/>
          <w:sz w:val="20"/>
          <w:szCs w:val="20"/>
        </w:rPr>
        <w:t xml:space="preserve">process.  President </w:t>
      </w:r>
      <w:proofErr w:type="spellStart"/>
      <w:r w:rsidR="000A1A36">
        <w:rPr>
          <w:rFonts w:asciiTheme="minorHAnsi" w:hAnsiTheme="minorHAnsi"/>
          <w:sz w:val="20"/>
          <w:szCs w:val="20"/>
        </w:rPr>
        <w:t>Bertolino</w:t>
      </w:r>
      <w:proofErr w:type="spellEnd"/>
      <w:r w:rsidR="000A1A36">
        <w:rPr>
          <w:rFonts w:asciiTheme="minorHAnsi" w:hAnsiTheme="minorHAnsi"/>
          <w:sz w:val="20"/>
          <w:szCs w:val="20"/>
        </w:rPr>
        <w:t xml:space="preserve"> highlighted once more that he believes that the P&amp;T is faculty driven and peer review process.  A need still exists for official informational sessions for DECs, </w:t>
      </w:r>
      <w:proofErr w:type="spellStart"/>
      <w:r w:rsidR="000A1A36">
        <w:rPr>
          <w:rFonts w:asciiTheme="minorHAnsi" w:hAnsiTheme="minorHAnsi"/>
          <w:sz w:val="20"/>
          <w:szCs w:val="20"/>
        </w:rPr>
        <w:t>Chaipersons</w:t>
      </w:r>
      <w:proofErr w:type="spellEnd"/>
      <w:r w:rsidR="000A1A36">
        <w:rPr>
          <w:rFonts w:asciiTheme="minorHAnsi" w:hAnsiTheme="minorHAnsi"/>
          <w:sz w:val="20"/>
          <w:szCs w:val="20"/>
        </w:rPr>
        <w:t xml:space="preserve">, and Deans on how to compose the evaluation letters.  Another concern is the necessary information that needs to be in the candidate’s file that highlights the four categories as defined by the Collective Bargaining Agreement and the Faculty Senate Documents.  In addition, the FS will work with President </w:t>
      </w:r>
      <w:proofErr w:type="spellStart"/>
      <w:r w:rsidR="000A1A36">
        <w:rPr>
          <w:rFonts w:asciiTheme="minorHAnsi" w:hAnsiTheme="minorHAnsi"/>
          <w:sz w:val="20"/>
          <w:szCs w:val="20"/>
        </w:rPr>
        <w:t>Bertolino</w:t>
      </w:r>
      <w:proofErr w:type="spellEnd"/>
      <w:r w:rsidR="000A1A36">
        <w:rPr>
          <w:rFonts w:asciiTheme="minorHAnsi" w:hAnsiTheme="minorHAnsi"/>
          <w:sz w:val="20"/>
          <w:szCs w:val="20"/>
        </w:rPr>
        <w:t xml:space="preserve"> and Provost </w:t>
      </w:r>
      <w:proofErr w:type="spellStart"/>
      <w:r w:rsidR="000A1A36">
        <w:rPr>
          <w:rFonts w:asciiTheme="minorHAnsi" w:hAnsiTheme="minorHAnsi"/>
          <w:sz w:val="20"/>
          <w:szCs w:val="20"/>
        </w:rPr>
        <w:t>Durnin</w:t>
      </w:r>
      <w:proofErr w:type="spellEnd"/>
      <w:r w:rsidR="000A1A36">
        <w:rPr>
          <w:rFonts w:asciiTheme="minorHAnsi" w:hAnsiTheme="minorHAnsi"/>
          <w:sz w:val="20"/>
          <w:szCs w:val="20"/>
        </w:rPr>
        <w:t xml:space="preserve"> to officially </w:t>
      </w:r>
      <w:r w:rsidR="00067494">
        <w:rPr>
          <w:rFonts w:asciiTheme="minorHAnsi" w:hAnsiTheme="minorHAnsi"/>
          <w:sz w:val="20"/>
          <w:szCs w:val="20"/>
        </w:rPr>
        <w:t xml:space="preserve">switch to electronic </w:t>
      </w:r>
      <w:r w:rsidR="000A1A36">
        <w:rPr>
          <w:rFonts w:asciiTheme="minorHAnsi" w:hAnsiTheme="minorHAnsi"/>
          <w:sz w:val="20"/>
          <w:szCs w:val="20"/>
        </w:rPr>
        <w:t xml:space="preserve">P&amp;T files in the near future.  </w:t>
      </w:r>
      <w:r w:rsidR="00067494">
        <w:rPr>
          <w:rFonts w:asciiTheme="minorHAnsi" w:hAnsiTheme="minorHAnsi"/>
          <w:sz w:val="20"/>
          <w:szCs w:val="20"/>
        </w:rPr>
        <w:t xml:space="preserve">A resolution from the FS should be crafted, which will commence discussions and research on how to make digital P&amp;T files.  </w:t>
      </w:r>
    </w:p>
    <w:p w14:paraId="04560730" w14:textId="77777777" w:rsidR="00315A30" w:rsidRDefault="00315A30" w:rsidP="00315A30">
      <w:pPr>
        <w:pStyle w:val="NoSpacing"/>
        <w:rPr>
          <w:rFonts w:asciiTheme="minorHAnsi" w:hAnsiTheme="minorHAnsi"/>
          <w:sz w:val="20"/>
          <w:szCs w:val="20"/>
        </w:rPr>
      </w:pPr>
    </w:p>
    <w:p w14:paraId="7B264FE3" w14:textId="77777777" w:rsidR="00337C10" w:rsidRPr="00315A30" w:rsidRDefault="00337C10" w:rsidP="00315A30">
      <w:pPr>
        <w:pStyle w:val="NoSpacing"/>
        <w:numPr>
          <w:ilvl w:val="0"/>
          <w:numId w:val="2"/>
        </w:numPr>
        <w:rPr>
          <w:rFonts w:asciiTheme="minorHAnsi" w:hAnsiTheme="minorHAnsi"/>
          <w:sz w:val="20"/>
          <w:szCs w:val="20"/>
        </w:rPr>
      </w:pPr>
      <w:r w:rsidRPr="00315A30">
        <w:rPr>
          <w:rFonts w:asciiTheme="minorHAnsi" w:hAnsiTheme="minorHAnsi"/>
          <w:sz w:val="20"/>
          <w:szCs w:val="20"/>
        </w:rPr>
        <w:t xml:space="preserve">The FS Executive Committee met with President </w:t>
      </w:r>
      <w:proofErr w:type="spellStart"/>
      <w:r w:rsidRPr="00315A30">
        <w:rPr>
          <w:rFonts w:asciiTheme="minorHAnsi" w:hAnsiTheme="minorHAnsi"/>
          <w:sz w:val="20"/>
          <w:szCs w:val="20"/>
        </w:rPr>
        <w:t>Bertolino</w:t>
      </w:r>
      <w:proofErr w:type="spellEnd"/>
      <w:r w:rsidRPr="00315A30">
        <w:rPr>
          <w:rFonts w:asciiTheme="minorHAnsi" w:hAnsiTheme="minorHAnsi"/>
          <w:sz w:val="20"/>
          <w:szCs w:val="20"/>
        </w:rPr>
        <w:t xml:space="preserve"> and Provost </w:t>
      </w:r>
      <w:proofErr w:type="spellStart"/>
      <w:r w:rsidRPr="00315A30">
        <w:rPr>
          <w:rFonts w:asciiTheme="minorHAnsi" w:hAnsiTheme="minorHAnsi"/>
          <w:sz w:val="20"/>
          <w:szCs w:val="20"/>
        </w:rPr>
        <w:t>Durnin</w:t>
      </w:r>
      <w:proofErr w:type="spellEnd"/>
      <w:r w:rsidRPr="00315A30">
        <w:rPr>
          <w:rFonts w:asciiTheme="minorHAnsi" w:hAnsiTheme="minorHAnsi"/>
          <w:sz w:val="20"/>
          <w:szCs w:val="20"/>
        </w:rPr>
        <w:t xml:space="preserve"> on 2/27 and 3/6 to discuss a variety of issues:</w:t>
      </w:r>
    </w:p>
    <w:p w14:paraId="25E4F389" w14:textId="7F5D6C24" w:rsidR="00315A30" w:rsidRDefault="00315A30" w:rsidP="00315A30">
      <w:pPr>
        <w:pStyle w:val="NoSpacing"/>
        <w:numPr>
          <w:ilvl w:val="1"/>
          <w:numId w:val="2"/>
        </w:numPr>
        <w:rPr>
          <w:rFonts w:asciiTheme="minorHAnsi" w:hAnsiTheme="minorHAnsi"/>
          <w:sz w:val="20"/>
          <w:szCs w:val="20"/>
        </w:rPr>
      </w:pPr>
      <w:r>
        <w:rPr>
          <w:rFonts w:asciiTheme="minorHAnsi" w:hAnsiTheme="minorHAnsi"/>
          <w:sz w:val="20"/>
          <w:szCs w:val="20"/>
        </w:rPr>
        <w:t>The hiring freeze announcement and the good news that 28 out of 31 current</w:t>
      </w:r>
      <w:r w:rsidR="00E62684">
        <w:rPr>
          <w:rFonts w:asciiTheme="minorHAnsi" w:hAnsiTheme="minorHAnsi"/>
          <w:sz w:val="20"/>
          <w:szCs w:val="20"/>
        </w:rPr>
        <w:t xml:space="preserve"> faculty searches were approved after the </w:t>
      </w:r>
      <w:r w:rsidR="00D262C1">
        <w:rPr>
          <w:rFonts w:asciiTheme="minorHAnsi" w:hAnsiTheme="minorHAnsi"/>
          <w:sz w:val="20"/>
          <w:szCs w:val="20"/>
        </w:rPr>
        <w:t xml:space="preserve">provided justifications.  </w:t>
      </w:r>
    </w:p>
    <w:p w14:paraId="0185B019" w14:textId="533A7768" w:rsidR="002A55D6" w:rsidRDefault="002A55D6" w:rsidP="00315A30">
      <w:pPr>
        <w:pStyle w:val="NoSpacing"/>
        <w:numPr>
          <w:ilvl w:val="1"/>
          <w:numId w:val="2"/>
        </w:numPr>
        <w:rPr>
          <w:rFonts w:asciiTheme="minorHAnsi" w:hAnsiTheme="minorHAnsi"/>
          <w:sz w:val="20"/>
          <w:szCs w:val="20"/>
        </w:rPr>
      </w:pPr>
      <w:r>
        <w:rPr>
          <w:rFonts w:asciiTheme="minorHAnsi" w:hAnsiTheme="minorHAnsi"/>
          <w:sz w:val="20"/>
          <w:szCs w:val="20"/>
        </w:rPr>
        <w:t xml:space="preserve">The University Controller, Ms. </w:t>
      </w:r>
      <w:proofErr w:type="spellStart"/>
      <w:r>
        <w:rPr>
          <w:rFonts w:asciiTheme="minorHAnsi" w:hAnsiTheme="minorHAnsi"/>
          <w:sz w:val="20"/>
          <w:szCs w:val="20"/>
        </w:rPr>
        <w:t>Lise</w:t>
      </w:r>
      <w:proofErr w:type="spellEnd"/>
      <w:r>
        <w:rPr>
          <w:rFonts w:asciiTheme="minorHAnsi" w:hAnsiTheme="minorHAnsi"/>
          <w:sz w:val="20"/>
          <w:szCs w:val="20"/>
        </w:rPr>
        <w:t xml:space="preserve"> Brule, announced her retirement and President </w:t>
      </w:r>
      <w:proofErr w:type="spellStart"/>
      <w:r>
        <w:rPr>
          <w:rFonts w:asciiTheme="minorHAnsi" w:hAnsiTheme="minorHAnsi"/>
          <w:sz w:val="20"/>
          <w:szCs w:val="20"/>
        </w:rPr>
        <w:t>Bertolino</w:t>
      </w:r>
      <w:proofErr w:type="spellEnd"/>
      <w:r>
        <w:rPr>
          <w:rFonts w:asciiTheme="minorHAnsi" w:hAnsiTheme="minorHAnsi"/>
          <w:sz w:val="20"/>
          <w:szCs w:val="20"/>
        </w:rPr>
        <w:t xml:space="preserve"> </w:t>
      </w:r>
      <w:r w:rsidR="00BE18BA">
        <w:rPr>
          <w:rFonts w:asciiTheme="minorHAnsi" w:hAnsiTheme="minorHAnsi"/>
          <w:sz w:val="20"/>
          <w:szCs w:val="20"/>
        </w:rPr>
        <w:t xml:space="preserve">has </w:t>
      </w:r>
      <w:r>
        <w:rPr>
          <w:rFonts w:asciiTheme="minorHAnsi" w:hAnsiTheme="minorHAnsi"/>
          <w:sz w:val="20"/>
          <w:szCs w:val="20"/>
        </w:rPr>
        <w:t xml:space="preserve">requested approval from BOR to search and hire a replacement.  </w:t>
      </w:r>
    </w:p>
    <w:p w14:paraId="5F6F0023" w14:textId="77777777" w:rsidR="002A55D6" w:rsidRDefault="00315A30" w:rsidP="00315A30">
      <w:pPr>
        <w:pStyle w:val="NoSpacing"/>
        <w:numPr>
          <w:ilvl w:val="1"/>
          <w:numId w:val="2"/>
        </w:numPr>
        <w:rPr>
          <w:rFonts w:asciiTheme="minorHAnsi" w:hAnsiTheme="minorHAnsi"/>
          <w:sz w:val="20"/>
          <w:szCs w:val="20"/>
        </w:rPr>
      </w:pPr>
      <w:r>
        <w:rPr>
          <w:rFonts w:asciiTheme="minorHAnsi" w:hAnsiTheme="minorHAnsi"/>
          <w:sz w:val="20"/>
          <w:szCs w:val="20"/>
        </w:rPr>
        <w:t xml:space="preserve">The announcement of Dr. </w:t>
      </w:r>
      <w:r w:rsidR="002A55D6">
        <w:rPr>
          <w:rFonts w:asciiTheme="minorHAnsi" w:hAnsiTheme="minorHAnsi"/>
          <w:sz w:val="20"/>
          <w:szCs w:val="20"/>
        </w:rPr>
        <w:t xml:space="preserve">Robert S. Prezant as the next Provost and VP of Academic Affairs.  </w:t>
      </w:r>
    </w:p>
    <w:p w14:paraId="5AD9352E" w14:textId="77777777" w:rsidR="002A55D6" w:rsidRDefault="00315A30" w:rsidP="00315A30">
      <w:pPr>
        <w:pStyle w:val="NoSpacing"/>
        <w:numPr>
          <w:ilvl w:val="1"/>
          <w:numId w:val="2"/>
        </w:numPr>
        <w:rPr>
          <w:rFonts w:asciiTheme="minorHAnsi" w:hAnsiTheme="minorHAnsi"/>
          <w:sz w:val="20"/>
          <w:szCs w:val="20"/>
        </w:rPr>
      </w:pPr>
      <w:r>
        <w:rPr>
          <w:rFonts w:asciiTheme="minorHAnsi" w:hAnsiTheme="minorHAnsi"/>
          <w:sz w:val="20"/>
          <w:szCs w:val="20"/>
        </w:rPr>
        <w:t xml:space="preserve"> </w:t>
      </w:r>
      <w:r w:rsidR="002A55D6">
        <w:rPr>
          <w:rFonts w:asciiTheme="minorHAnsi" w:hAnsiTheme="minorHAnsi"/>
          <w:sz w:val="20"/>
          <w:szCs w:val="20"/>
        </w:rPr>
        <w:t>The SGA is discussing LEP concerns and gathering information through a survey.  Possibility exists that the SGA might draft a resolution to present the UCF.</w:t>
      </w:r>
    </w:p>
    <w:p w14:paraId="3CC96E0B" w14:textId="393334F8" w:rsidR="00D16789" w:rsidRDefault="002A55D6" w:rsidP="00315A30">
      <w:pPr>
        <w:pStyle w:val="NoSpacing"/>
        <w:numPr>
          <w:ilvl w:val="1"/>
          <w:numId w:val="2"/>
        </w:numPr>
        <w:rPr>
          <w:rFonts w:asciiTheme="minorHAnsi" w:hAnsiTheme="minorHAnsi"/>
          <w:sz w:val="20"/>
          <w:szCs w:val="20"/>
        </w:rPr>
      </w:pPr>
      <w:r>
        <w:rPr>
          <w:rFonts w:asciiTheme="minorHAnsi" w:hAnsiTheme="minorHAnsi"/>
          <w:sz w:val="20"/>
          <w:szCs w:val="20"/>
        </w:rPr>
        <w:t xml:space="preserve"> </w:t>
      </w:r>
      <w:r w:rsidR="00D262C1">
        <w:rPr>
          <w:rFonts w:asciiTheme="minorHAnsi" w:hAnsiTheme="minorHAnsi"/>
          <w:sz w:val="20"/>
          <w:szCs w:val="20"/>
        </w:rPr>
        <w:t>The increase of faculty travel funds to $1450 was finalized.</w:t>
      </w:r>
    </w:p>
    <w:p w14:paraId="3E0AA39B" w14:textId="6339AB33" w:rsidR="00D262C1" w:rsidRDefault="00D262C1" w:rsidP="00315A30">
      <w:pPr>
        <w:pStyle w:val="NoSpacing"/>
        <w:numPr>
          <w:ilvl w:val="1"/>
          <w:numId w:val="2"/>
        </w:numPr>
        <w:rPr>
          <w:rFonts w:asciiTheme="minorHAnsi" w:hAnsiTheme="minorHAnsi"/>
          <w:sz w:val="20"/>
          <w:szCs w:val="20"/>
        </w:rPr>
      </w:pPr>
      <w:r>
        <w:rPr>
          <w:rFonts w:asciiTheme="minorHAnsi" w:hAnsiTheme="minorHAnsi"/>
          <w:sz w:val="20"/>
          <w:szCs w:val="20"/>
        </w:rPr>
        <w:t>The Space Committee will commence its regular monthly meetings, where open communication and consultation will be honored.</w:t>
      </w:r>
    </w:p>
    <w:p w14:paraId="6EE85CB6" w14:textId="3DA0358D" w:rsidR="00D262C1" w:rsidRDefault="00D262C1" w:rsidP="00D262C1">
      <w:pPr>
        <w:pStyle w:val="NoSpacing"/>
        <w:numPr>
          <w:ilvl w:val="1"/>
          <w:numId w:val="2"/>
        </w:numPr>
        <w:rPr>
          <w:rFonts w:asciiTheme="minorHAnsi" w:hAnsiTheme="minorHAnsi"/>
          <w:sz w:val="20"/>
          <w:szCs w:val="20"/>
        </w:rPr>
      </w:pPr>
      <w:r>
        <w:rPr>
          <w:rFonts w:asciiTheme="minorHAnsi" w:hAnsiTheme="minorHAnsi"/>
          <w:sz w:val="20"/>
          <w:szCs w:val="20"/>
        </w:rPr>
        <w:t>The Budget and Planning Committee hasn’t met due to the budget uncertainty but it will now start meeting to help shape the current budget cuts.</w:t>
      </w:r>
    </w:p>
    <w:p w14:paraId="0D3EC395" w14:textId="3809A218" w:rsidR="00D262C1" w:rsidRDefault="00D262C1" w:rsidP="004810FF">
      <w:pPr>
        <w:pStyle w:val="NoSpacing"/>
        <w:numPr>
          <w:ilvl w:val="1"/>
          <w:numId w:val="2"/>
        </w:numPr>
        <w:rPr>
          <w:rFonts w:asciiTheme="minorHAnsi" w:hAnsiTheme="minorHAnsi"/>
          <w:sz w:val="20"/>
          <w:szCs w:val="20"/>
        </w:rPr>
      </w:pPr>
      <w:r>
        <w:rPr>
          <w:rFonts w:asciiTheme="minorHAnsi" w:hAnsiTheme="minorHAnsi"/>
          <w:sz w:val="20"/>
          <w:szCs w:val="20"/>
        </w:rPr>
        <w:lastRenderedPageBreak/>
        <w:t xml:space="preserve">The Research Reassigned Time </w:t>
      </w:r>
      <w:r w:rsidR="00AA2174">
        <w:rPr>
          <w:rFonts w:asciiTheme="minorHAnsi" w:hAnsiTheme="minorHAnsi"/>
          <w:sz w:val="20"/>
          <w:szCs w:val="20"/>
        </w:rPr>
        <w:t xml:space="preserve">was reviewed and as the </w:t>
      </w:r>
      <w:r w:rsidR="004810FF">
        <w:rPr>
          <w:rFonts w:asciiTheme="minorHAnsi" w:hAnsiTheme="minorHAnsi"/>
          <w:sz w:val="20"/>
          <w:szCs w:val="20"/>
        </w:rPr>
        <w:t>Collective Bargaining Agreement highlights, SCSU receive108 per semester, a</w:t>
      </w:r>
      <w:r w:rsidR="00AA2174">
        <w:rPr>
          <w:rFonts w:asciiTheme="minorHAnsi" w:hAnsiTheme="minorHAnsi"/>
          <w:sz w:val="20"/>
          <w:szCs w:val="20"/>
        </w:rPr>
        <w:t xml:space="preserve"> total</w:t>
      </w:r>
      <w:r w:rsidR="004810FF">
        <w:rPr>
          <w:rFonts w:asciiTheme="minorHAnsi" w:hAnsiTheme="minorHAnsi"/>
          <w:sz w:val="20"/>
          <w:szCs w:val="20"/>
        </w:rPr>
        <w:t xml:space="preserve"> of 216</w:t>
      </w:r>
      <w:r w:rsidR="00AA2174">
        <w:rPr>
          <w:rFonts w:asciiTheme="minorHAnsi" w:hAnsiTheme="minorHAnsi"/>
          <w:sz w:val="20"/>
          <w:szCs w:val="20"/>
        </w:rPr>
        <w:t xml:space="preserve"> credits</w:t>
      </w:r>
      <w:r w:rsidR="004810FF">
        <w:rPr>
          <w:rFonts w:asciiTheme="minorHAnsi" w:hAnsiTheme="minorHAnsi"/>
          <w:sz w:val="20"/>
          <w:szCs w:val="20"/>
        </w:rPr>
        <w:t xml:space="preserve"> per academic year</w:t>
      </w:r>
      <w:r w:rsidR="00AA2174">
        <w:rPr>
          <w:rFonts w:asciiTheme="minorHAnsi" w:hAnsiTheme="minorHAnsi"/>
          <w:sz w:val="20"/>
          <w:szCs w:val="20"/>
        </w:rPr>
        <w:t xml:space="preserve">.  The Provost distributes to </w:t>
      </w:r>
      <w:r w:rsidR="004810FF">
        <w:rPr>
          <w:rFonts w:asciiTheme="minorHAnsi" w:hAnsiTheme="minorHAnsi"/>
          <w:sz w:val="20"/>
          <w:szCs w:val="20"/>
        </w:rPr>
        <w:t xml:space="preserve">each of the schools </w:t>
      </w:r>
      <w:r w:rsidR="00AA2174">
        <w:rPr>
          <w:rFonts w:asciiTheme="minorHAnsi" w:hAnsiTheme="minorHAnsi"/>
          <w:sz w:val="20"/>
          <w:szCs w:val="20"/>
        </w:rPr>
        <w:t>a percentage based on the number of full time faculty per school.  The individual deans have the final discr</w:t>
      </w:r>
      <w:r w:rsidR="004810FF">
        <w:rPr>
          <w:rFonts w:asciiTheme="minorHAnsi" w:hAnsiTheme="minorHAnsi"/>
          <w:sz w:val="20"/>
          <w:szCs w:val="20"/>
        </w:rPr>
        <w:t>etion as to who will receive</w:t>
      </w:r>
      <w:r w:rsidR="00AA2174">
        <w:rPr>
          <w:rFonts w:asciiTheme="minorHAnsi" w:hAnsiTheme="minorHAnsi"/>
          <w:sz w:val="20"/>
          <w:szCs w:val="20"/>
        </w:rPr>
        <w:t xml:space="preserve"> RRT based on their individual </w:t>
      </w:r>
      <w:r w:rsidR="004810FF">
        <w:rPr>
          <w:rFonts w:asciiTheme="minorHAnsi" w:hAnsiTheme="minorHAnsi"/>
          <w:sz w:val="20"/>
          <w:szCs w:val="20"/>
        </w:rPr>
        <w:t xml:space="preserve">schools’ </w:t>
      </w:r>
      <w:r w:rsidR="00AA2174">
        <w:rPr>
          <w:rFonts w:asciiTheme="minorHAnsi" w:hAnsiTheme="minorHAnsi"/>
          <w:sz w:val="20"/>
          <w:szCs w:val="20"/>
        </w:rPr>
        <w:t>needs</w:t>
      </w:r>
      <w:r w:rsidR="004810FF">
        <w:rPr>
          <w:rFonts w:asciiTheme="minorHAnsi" w:hAnsiTheme="minorHAnsi"/>
          <w:sz w:val="20"/>
          <w:szCs w:val="20"/>
        </w:rPr>
        <w:t xml:space="preserve"> and the faculty proposals</w:t>
      </w:r>
      <w:r w:rsidR="00AA2174">
        <w:rPr>
          <w:rFonts w:asciiTheme="minorHAnsi" w:hAnsiTheme="minorHAnsi"/>
          <w:sz w:val="20"/>
          <w:szCs w:val="20"/>
        </w:rPr>
        <w:t>.</w:t>
      </w:r>
      <w:r w:rsidR="00665B99">
        <w:rPr>
          <w:rFonts w:asciiTheme="minorHAnsi" w:hAnsiTheme="minorHAnsi"/>
          <w:sz w:val="20"/>
          <w:szCs w:val="20"/>
        </w:rPr>
        <w:t xml:space="preserve">  The FS is considering a resolution requesting consistent guidelines of awarding the RRT and proposing </w:t>
      </w:r>
      <w:r w:rsidR="004810FF">
        <w:rPr>
          <w:rFonts w:asciiTheme="minorHAnsi" w:hAnsiTheme="minorHAnsi"/>
          <w:sz w:val="20"/>
          <w:szCs w:val="20"/>
        </w:rPr>
        <w:t xml:space="preserve">a formation of </w:t>
      </w:r>
      <w:r w:rsidR="00665B99">
        <w:rPr>
          <w:rFonts w:asciiTheme="minorHAnsi" w:hAnsiTheme="minorHAnsi"/>
          <w:sz w:val="20"/>
          <w:szCs w:val="20"/>
        </w:rPr>
        <w:t>an advisory process as highlighted by the contract.</w:t>
      </w:r>
    </w:p>
    <w:p w14:paraId="7C83E8C1" w14:textId="329D4E87" w:rsidR="00D262C1" w:rsidRDefault="00665B99" w:rsidP="00315A30">
      <w:pPr>
        <w:pStyle w:val="NoSpacing"/>
        <w:numPr>
          <w:ilvl w:val="1"/>
          <w:numId w:val="2"/>
        </w:numPr>
        <w:rPr>
          <w:rFonts w:asciiTheme="minorHAnsi" w:hAnsiTheme="minorHAnsi"/>
          <w:sz w:val="20"/>
          <w:szCs w:val="20"/>
        </w:rPr>
      </w:pPr>
      <w:r>
        <w:rPr>
          <w:rFonts w:asciiTheme="minorHAnsi" w:hAnsiTheme="minorHAnsi"/>
          <w:sz w:val="20"/>
          <w:szCs w:val="20"/>
        </w:rPr>
        <w:t>The calendar for Midterm Grades was discussed as it falls on the first day of spring break.  A solution was discussed and finally emailed to all faculty.</w:t>
      </w:r>
    </w:p>
    <w:p w14:paraId="280E8125" w14:textId="440B34BD" w:rsidR="00665B99" w:rsidRDefault="00665B99" w:rsidP="00665B99">
      <w:pPr>
        <w:pStyle w:val="NoSpacing"/>
        <w:numPr>
          <w:ilvl w:val="1"/>
          <w:numId w:val="2"/>
        </w:numPr>
        <w:rPr>
          <w:rFonts w:asciiTheme="minorHAnsi" w:hAnsiTheme="minorHAnsi"/>
          <w:sz w:val="20"/>
          <w:szCs w:val="20"/>
        </w:rPr>
      </w:pPr>
      <w:r>
        <w:rPr>
          <w:rFonts w:asciiTheme="minorHAnsi" w:hAnsiTheme="minorHAnsi"/>
          <w:sz w:val="20"/>
          <w:szCs w:val="20"/>
        </w:rPr>
        <w:t>The process of cancelation of classes will be reviewed and will be presented to the Council of Chairs for discussion.</w:t>
      </w:r>
    </w:p>
    <w:p w14:paraId="031F80E8" w14:textId="77777777" w:rsidR="00F4654C" w:rsidRDefault="00F4654C" w:rsidP="00665B99">
      <w:pPr>
        <w:pStyle w:val="NoSpacing"/>
        <w:rPr>
          <w:rFonts w:asciiTheme="minorHAnsi" w:hAnsiTheme="minorHAnsi"/>
          <w:sz w:val="20"/>
          <w:szCs w:val="20"/>
        </w:rPr>
      </w:pPr>
    </w:p>
    <w:p w14:paraId="4F6E5C78" w14:textId="26FF857F" w:rsidR="00F4654C" w:rsidRDefault="00F4654C" w:rsidP="006049EB">
      <w:pPr>
        <w:pStyle w:val="NoSpacing"/>
        <w:numPr>
          <w:ilvl w:val="0"/>
          <w:numId w:val="2"/>
        </w:numPr>
        <w:rPr>
          <w:rFonts w:asciiTheme="minorHAnsi" w:hAnsiTheme="minorHAnsi"/>
          <w:sz w:val="20"/>
          <w:szCs w:val="20"/>
        </w:rPr>
      </w:pPr>
      <w:r>
        <w:rPr>
          <w:rFonts w:asciiTheme="minorHAnsi" w:hAnsiTheme="minorHAnsi"/>
          <w:sz w:val="20"/>
          <w:szCs w:val="20"/>
        </w:rPr>
        <w:t xml:space="preserve">One of the events for the Inauguration week is the Faculty event to showcase Faculty publications or art displays.  </w:t>
      </w:r>
      <w:r w:rsidR="006049EB">
        <w:rPr>
          <w:rFonts w:asciiTheme="minorHAnsi" w:hAnsiTheme="minorHAnsi"/>
          <w:sz w:val="20"/>
          <w:szCs w:val="20"/>
        </w:rPr>
        <w:t xml:space="preserve"> It is scheduled for Friday, April 21, 5-7 pm.  Each Senator needs to announce the event to their departments as soon as possible.  For any further questions please contact </w:t>
      </w:r>
      <w:r w:rsidR="00337C10">
        <w:rPr>
          <w:rFonts w:asciiTheme="minorHAnsi" w:hAnsiTheme="minorHAnsi"/>
          <w:sz w:val="20"/>
          <w:szCs w:val="20"/>
        </w:rPr>
        <w:t xml:space="preserve">Dr. </w:t>
      </w:r>
      <w:r w:rsidR="006049EB">
        <w:rPr>
          <w:rFonts w:asciiTheme="minorHAnsi" w:hAnsiTheme="minorHAnsi"/>
          <w:sz w:val="20"/>
          <w:szCs w:val="20"/>
        </w:rPr>
        <w:t xml:space="preserve">Ruth </w:t>
      </w:r>
      <w:proofErr w:type="spellStart"/>
      <w:r w:rsidR="006049EB">
        <w:rPr>
          <w:rFonts w:asciiTheme="minorHAnsi" w:hAnsiTheme="minorHAnsi"/>
          <w:sz w:val="20"/>
          <w:szCs w:val="20"/>
        </w:rPr>
        <w:t>Eren</w:t>
      </w:r>
      <w:proofErr w:type="spellEnd"/>
      <w:r w:rsidR="006049EB">
        <w:rPr>
          <w:rFonts w:asciiTheme="minorHAnsi" w:hAnsiTheme="minorHAnsi"/>
          <w:sz w:val="20"/>
          <w:szCs w:val="20"/>
        </w:rPr>
        <w:t>, Dean Breese, or Maria Diamantis.</w:t>
      </w:r>
    </w:p>
    <w:p w14:paraId="736D9E7D" w14:textId="77777777" w:rsidR="00A82EFF" w:rsidRDefault="00A82EFF" w:rsidP="00A82EFF">
      <w:pPr>
        <w:pStyle w:val="NoSpacing"/>
        <w:rPr>
          <w:rFonts w:asciiTheme="minorHAnsi" w:hAnsiTheme="minorHAnsi"/>
          <w:sz w:val="20"/>
          <w:szCs w:val="20"/>
        </w:rPr>
      </w:pPr>
    </w:p>
    <w:p w14:paraId="44F4E7CE" w14:textId="1A12F4B4" w:rsidR="00D6624D" w:rsidRDefault="00337C10" w:rsidP="00D6624D">
      <w:pPr>
        <w:pStyle w:val="NoSpacing"/>
        <w:numPr>
          <w:ilvl w:val="0"/>
          <w:numId w:val="2"/>
        </w:numPr>
        <w:rPr>
          <w:rFonts w:asciiTheme="minorHAnsi" w:hAnsiTheme="minorHAnsi"/>
          <w:sz w:val="20"/>
          <w:szCs w:val="20"/>
        </w:rPr>
      </w:pPr>
      <w:r>
        <w:rPr>
          <w:rFonts w:asciiTheme="minorHAnsi" w:hAnsiTheme="minorHAnsi"/>
          <w:sz w:val="20"/>
          <w:szCs w:val="20"/>
        </w:rPr>
        <w:t>On March 1</w:t>
      </w:r>
      <w:r w:rsidRPr="00337C10">
        <w:rPr>
          <w:rFonts w:asciiTheme="minorHAnsi" w:hAnsiTheme="minorHAnsi"/>
          <w:sz w:val="20"/>
          <w:szCs w:val="20"/>
          <w:vertAlign w:val="superscript"/>
        </w:rPr>
        <w:t>st</w:t>
      </w:r>
      <w:r>
        <w:rPr>
          <w:rFonts w:asciiTheme="minorHAnsi" w:hAnsiTheme="minorHAnsi"/>
          <w:sz w:val="20"/>
          <w:szCs w:val="20"/>
        </w:rPr>
        <w:t>, t</w:t>
      </w:r>
      <w:r w:rsidR="00A82EFF">
        <w:rPr>
          <w:rFonts w:asciiTheme="minorHAnsi" w:hAnsiTheme="minorHAnsi"/>
          <w:sz w:val="20"/>
          <w:szCs w:val="20"/>
        </w:rPr>
        <w:t>he SCSU Reflection Garden Project</w:t>
      </w:r>
      <w:r w:rsidR="00E239E4">
        <w:rPr>
          <w:rFonts w:asciiTheme="minorHAnsi" w:hAnsiTheme="minorHAnsi"/>
          <w:sz w:val="20"/>
          <w:szCs w:val="20"/>
        </w:rPr>
        <w:t>,</w:t>
      </w:r>
      <w:r w:rsidR="00A82EFF">
        <w:rPr>
          <w:rFonts w:asciiTheme="minorHAnsi" w:hAnsiTheme="minorHAnsi"/>
          <w:sz w:val="20"/>
          <w:szCs w:val="20"/>
        </w:rPr>
        <w:t xml:space="preserve"> co-chaired by Bill </w:t>
      </w:r>
      <w:proofErr w:type="spellStart"/>
      <w:r w:rsidR="00A82EFF">
        <w:rPr>
          <w:rFonts w:asciiTheme="minorHAnsi" w:hAnsiTheme="minorHAnsi"/>
          <w:sz w:val="20"/>
          <w:szCs w:val="20"/>
        </w:rPr>
        <w:t>Faraclas</w:t>
      </w:r>
      <w:proofErr w:type="spellEnd"/>
      <w:r w:rsidR="00A82EFF">
        <w:rPr>
          <w:rFonts w:asciiTheme="minorHAnsi" w:hAnsiTheme="minorHAnsi"/>
          <w:sz w:val="20"/>
          <w:szCs w:val="20"/>
        </w:rPr>
        <w:t xml:space="preserve"> and Dan </w:t>
      </w:r>
      <w:proofErr w:type="spellStart"/>
      <w:r w:rsidR="00A82EFF">
        <w:rPr>
          <w:rFonts w:asciiTheme="minorHAnsi" w:hAnsiTheme="minorHAnsi"/>
          <w:sz w:val="20"/>
          <w:szCs w:val="20"/>
        </w:rPr>
        <w:t>Camenga</w:t>
      </w:r>
      <w:proofErr w:type="spellEnd"/>
      <w:r w:rsidR="00E239E4">
        <w:rPr>
          <w:rFonts w:asciiTheme="minorHAnsi" w:hAnsiTheme="minorHAnsi"/>
          <w:sz w:val="20"/>
          <w:szCs w:val="20"/>
        </w:rPr>
        <w:t>,</w:t>
      </w:r>
      <w:r w:rsidR="00A82EFF">
        <w:rPr>
          <w:rFonts w:asciiTheme="minorHAnsi" w:hAnsiTheme="minorHAnsi"/>
          <w:sz w:val="20"/>
          <w:szCs w:val="20"/>
        </w:rPr>
        <w:t xml:space="preserve"> </w:t>
      </w:r>
      <w:r>
        <w:rPr>
          <w:rFonts w:asciiTheme="minorHAnsi" w:hAnsiTheme="minorHAnsi"/>
          <w:sz w:val="20"/>
          <w:szCs w:val="20"/>
        </w:rPr>
        <w:t>had an amazing visit with the Architect</w:t>
      </w:r>
      <w:r w:rsidR="00C134CE">
        <w:rPr>
          <w:rFonts w:asciiTheme="minorHAnsi" w:hAnsiTheme="minorHAnsi"/>
          <w:sz w:val="20"/>
          <w:szCs w:val="20"/>
        </w:rPr>
        <w:t xml:space="preserve">, </w:t>
      </w:r>
      <w:r w:rsidR="00D6624D">
        <w:rPr>
          <w:rFonts w:asciiTheme="minorHAnsi" w:hAnsiTheme="minorHAnsi"/>
          <w:sz w:val="20"/>
          <w:szCs w:val="20"/>
        </w:rPr>
        <w:t xml:space="preserve">Julie Moir </w:t>
      </w:r>
      <w:proofErr w:type="spellStart"/>
      <w:r w:rsidR="00D6624D">
        <w:rPr>
          <w:rFonts w:asciiTheme="minorHAnsi" w:hAnsiTheme="minorHAnsi"/>
          <w:sz w:val="20"/>
          <w:szCs w:val="20"/>
        </w:rPr>
        <w:t>Messervy</w:t>
      </w:r>
      <w:proofErr w:type="spellEnd"/>
      <w:r w:rsidR="00D6624D">
        <w:rPr>
          <w:rFonts w:asciiTheme="minorHAnsi" w:hAnsiTheme="minorHAnsi"/>
          <w:sz w:val="20"/>
          <w:szCs w:val="20"/>
        </w:rPr>
        <w:t xml:space="preserve"> and her colleagues, Jana and Sam.  It was a very informative session, actually three such visioning sessions, with exchange of ideas on the creation and construction of the reflection garden.  I urge all Senators to communicate to their departments that the survey to collect input on this project is still open and the committee welcomes all suggestions.  The link:   </w:t>
      </w:r>
      <w:hyperlink r:id="rId10" w:history="1">
        <w:r w:rsidR="00D6624D" w:rsidRPr="004072C2">
          <w:rPr>
            <w:rStyle w:val="Hyperlink"/>
            <w:rFonts w:asciiTheme="minorHAnsi" w:hAnsiTheme="minorHAnsi"/>
            <w:sz w:val="20"/>
            <w:szCs w:val="20"/>
          </w:rPr>
          <w:t>http://reflectiongarden.southernct.edu/</w:t>
        </w:r>
      </w:hyperlink>
      <w:r w:rsidR="00D6624D">
        <w:rPr>
          <w:rFonts w:asciiTheme="minorHAnsi" w:hAnsiTheme="minorHAnsi"/>
          <w:sz w:val="20"/>
          <w:szCs w:val="20"/>
        </w:rPr>
        <w:t xml:space="preserve">  and scroll to the bottom of the page for the survey.</w:t>
      </w:r>
    </w:p>
    <w:p w14:paraId="4507402E" w14:textId="77777777" w:rsidR="00D6624D" w:rsidRDefault="00D6624D" w:rsidP="00D6624D">
      <w:pPr>
        <w:pStyle w:val="NoSpacing"/>
        <w:rPr>
          <w:rFonts w:asciiTheme="minorHAnsi" w:hAnsiTheme="minorHAnsi"/>
          <w:sz w:val="20"/>
          <w:szCs w:val="20"/>
        </w:rPr>
      </w:pPr>
    </w:p>
    <w:p w14:paraId="5F36963A" w14:textId="026DB00B" w:rsidR="00D6624D" w:rsidRDefault="00D6624D" w:rsidP="00D6624D">
      <w:pPr>
        <w:pStyle w:val="NoSpacing"/>
        <w:ind w:left="360"/>
        <w:rPr>
          <w:rFonts w:asciiTheme="minorHAnsi" w:hAnsiTheme="minorHAnsi"/>
          <w:sz w:val="20"/>
          <w:szCs w:val="20"/>
        </w:rPr>
      </w:pPr>
      <w:r>
        <w:rPr>
          <w:rFonts w:asciiTheme="minorHAnsi" w:hAnsiTheme="minorHAnsi"/>
          <w:sz w:val="20"/>
          <w:szCs w:val="20"/>
        </w:rPr>
        <w:t xml:space="preserve"> </w:t>
      </w:r>
    </w:p>
    <w:p w14:paraId="1D49821F" w14:textId="77777777" w:rsidR="00D6624D" w:rsidRDefault="00D6624D" w:rsidP="00D6624D">
      <w:pPr>
        <w:pStyle w:val="NoSpacing"/>
        <w:rPr>
          <w:sz w:val="20"/>
          <w:szCs w:val="20"/>
        </w:rPr>
      </w:pPr>
    </w:p>
    <w:p w14:paraId="04E209DB" w14:textId="4C2E0A2F" w:rsidR="00DF0F8A" w:rsidRPr="00665B99" w:rsidRDefault="00DF0F8A" w:rsidP="00C134CE">
      <w:pPr>
        <w:pStyle w:val="NoSpacing"/>
        <w:numPr>
          <w:ilvl w:val="0"/>
          <w:numId w:val="2"/>
        </w:numPr>
        <w:rPr>
          <w:rFonts w:asciiTheme="minorHAnsi" w:hAnsiTheme="minorHAnsi"/>
          <w:sz w:val="20"/>
          <w:szCs w:val="20"/>
        </w:rPr>
      </w:pPr>
      <w:r w:rsidRPr="00665B99">
        <w:rPr>
          <w:sz w:val="20"/>
          <w:szCs w:val="20"/>
        </w:rPr>
        <w:br w:type="page"/>
      </w:r>
    </w:p>
    <w:p w14:paraId="6EA0C8E8" w14:textId="77777777" w:rsidR="00E4660A" w:rsidRDefault="00E4660A" w:rsidP="008D7219">
      <w:pPr>
        <w:pStyle w:val="NoSpacing"/>
        <w:rPr>
          <w:rFonts w:asciiTheme="minorHAnsi" w:hAnsiTheme="minorHAnsi"/>
          <w:sz w:val="20"/>
          <w:szCs w:val="20"/>
        </w:rPr>
      </w:pPr>
    </w:p>
    <w:p w14:paraId="29486EE2" w14:textId="77777777" w:rsidR="00E4660A" w:rsidRPr="008D7219" w:rsidRDefault="00E4660A" w:rsidP="008D7219">
      <w:pPr>
        <w:pStyle w:val="NoSpacing"/>
        <w:rPr>
          <w:rFonts w:asciiTheme="minorHAnsi" w:hAnsiTheme="minorHAnsi"/>
          <w:sz w:val="20"/>
          <w:szCs w:val="20"/>
        </w:rPr>
      </w:pPr>
    </w:p>
    <w:tbl>
      <w:tblPr>
        <w:tblStyle w:val="TableGrid"/>
        <w:tblW w:w="11676" w:type="dxa"/>
        <w:tblInd w:w="-432" w:type="dxa"/>
        <w:tblLayout w:type="fixed"/>
        <w:tblLook w:val="04A0" w:firstRow="1" w:lastRow="0" w:firstColumn="1" w:lastColumn="0" w:noHBand="0" w:noVBand="1"/>
      </w:tblPr>
      <w:tblGrid>
        <w:gridCol w:w="900"/>
        <w:gridCol w:w="1170"/>
        <w:gridCol w:w="3426"/>
        <w:gridCol w:w="1260"/>
        <w:gridCol w:w="1170"/>
        <w:gridCol w:w="3239"/>
        <w:gridCol w:w="511"/>
      </w:tblGrid>
      <w:tr w:rsidR="008D7219" w14:paraId="782AB0AD" w14:textId="77777777" w:rsidTr="00665B99">
        <w:trPr>
          <w:gridAfter w:val="1"/>
          <w:wAfter w:w="511" w:type="dxa"/>
        </w:trPr>
        <w:tc>
          <w:tcPr>
            <w:tcW w:w="11165" w:type="dxa"/>
            <w:gridSpan w:val="6"/>
          </w:tcPr>
          <w:p w14:paraId="575BCF40" w14:textId="77777777" w:rsidR="008D7219" w:rsidRPr="00C82FD3" w:rsidRDefault="008D7219" w:rsidP="00873E9D">
            <w:pPr>
              <w:jc w:val="center"/>
              <w:rPr>
                <w:sz w:val="20"/>
                <w:szCs w:val="20"/>
              </w:rPr>
            </w:pPr>
            <w:r>
              <w:rPr>
                <w:b/>
              </w:rPr>
              <w:t>Status of AY 14 Faculty Senate Resolutions</w:t>
            </w:r>
          </w:p>
        </w:tc>
      </w:tr>
      <w:tr w:rsidR="004810FF" w14:paraId="59EF2714" w14:textId="77777777" w:rsidTr="004810FF">
        <w:tc>
          <w:tcPr>
            <w:tcW w:w="900" w:type="dxa"/>
            <w:shd w:val="clear" w:color="auto" w:fill="F2F2F2" w:themeFill="background1" w:themeFillShade="F2"/>
          </w:tcPr>
          <w:p w14:paraId="18C8C24E" w14:textId="77777777" w:rsidR="008D7219" w:rsidRPr="00C82FD3" w:rsidRDefault="008D7219" w:rsidP="00873E9D">
            <w:pPr>
              <w:jc w:val="center"/>
              <w:rPr>
                <w:b/>
                <w:sz w:val="20"/>
                <w:szCs w:val="20"/>
              </w:rPr>
            </w:pPr>
            <w:r w:rsidRPr="00C82FD3">
              <w:rPr>
                <w:b/>
                <w:sz w:val="20"/>
                <w:szCs w:val="20"/>
              </w:rPr>
              <w:t>Number</w:t>
            </w:r>
          </w:p>
        </w:tc>
        <w:tc>
          <w:tcPr>
            <w:tcW w:w="1170" w:type="dxa"/>
            <w:shd w:val="clear" w:color="auto" w:fill="F2F2F2" w:themeFill="background1" w:themeFillShade="F2"/>
          </w:tcPr>
          <w:p w14:paraId="68D2DBB6" w14:textId="77777777" w:rsidR="008D7219" w:rsidRPr="00C82FD3" w:rsidRDefault="008D7219" w:rsidP="00873E9D">
            <w:pPr>
              <w:jc w:val="center"/>
              <w:rPr>
                <w:b/>
                <w:sz w:val="20"/>
                <w:szCs w:val="20"/>
              </w:rPr>
            </w:pPr>
            <w:r>
              <w:rPr>
                <w:b/>
                <w:sz w:val="20"/>
                <w:szCs w:val="20"/>
              </w:rPr>
              <w:t>Date</w:t>
            </w:r>
          </w:p>
        </w:tc>
        <w:tc>
          <w:tcPr>
            <w:tcW w:w="3426" w:type="dxa"/>
            <w:shd w:val="clear" w:color="auto" w:fill="F2F2F2" w:themeFill="background1" w:themeFillShade="F2"/>
          </w:tcPr>
          <w:p w14:paraId="7C43C9DA" w14:textId="1A944254" w:rsidR="008D7219" w:rsidRPr="00C82FD3" w:rsidRDefault="008D7219" w:rsidP="00873E9D">
            <w:pPr>
              <w:jc w:val="center"/>
              <w:rPr>
                <w:b/>
                <w:sz w:val="20"/>
                <w:szCs w:val="20"/>
              </w:rPr>
            </w:pPr>
            <w:r w:rsidRPr="00C82FD3">
              <w:rPr>
                <w:b/>
                <w:sz w:val="20"/>
                <w:szCs w:val="20"/>
              </w:rPr>
              <w:t>Resolution</w:t>
            </w:r>
            <w:r w:rsidR="00E61C7C">
              <w:rPr>
                <w:b/>
                <w:sz w:val="20"/>
                <w:szCs w:val="20"/>
              </w:rPr>
              <w:t xml:space="preserve"> Title</w:t>
            </w:r>
          </w:p>
        </w:tc>
        <w:tc>
          <w:tcPr>
            <w:tcW w:w="1260" w:type="dxa"/>
            <w:shd w:val="clear" w:color="auto" w:fill="F2F2F2" w:themeFill="background1" w:themeFillShade="F2"/>
          </w:tcPr>
          <w:p w14:paraId="4FA3B03F" w14:textId="77777777" w:rsidR="008D7219" w:rsidRPr="00C82FD3" w:rsidRDefault="008D7219" w:rsidP="00873E9D">
            <w:pPr>
              <w:jc w:val="center"/>
              <w:rPr>
                <w:b/>
                <w:sz w:val="20"/>
                <w:szCs w:val="20"/>
              </w:rPr>
            </w:pPr>
            <w:r w:rsidRPr="00C82FD3">
              <w:rPr>
                <w:b/>
                <w:sz w:val="20"/>
                <w:szCs w:val="20"/>
              </w:rPr>
              <w:t>For</w:t>
            </w:r>
          </w:p>
        </w:tc>
        <w:tc>
          <w:tcPr>
            <w:tcW w:w="1170" w:type="dxa"/>
            <w:shd w:val="clear" w:color="auto" w:fill="F2F2F2" w:themeFill="background1" w:themeFillShade="F2"/>
          </w:tcPr>
          <w:p w14:paraId="55AD4B0F" w14:textId="77777777" w:rsidR="008D7219" w:rsidRPr="00C82FD3" w:rsidRDefault="008D7219" w:rsidP="00873E9D">
            <w:pPr>
              <w:jc w:val="center"/>
              <w:rPr>
                <w:b/>
                <w:sz w:val="20"/>
                <w:szCs w:val="20"/>
              </w:rPr>
            </w:pPr>
            <w:r w:rsidRPr="00C82FD3">
              <w:rPr>
                <w:b/>
                <w:sz w:val="20"/>
                <w:szCs w:val="20"/>
              </w:rPr>
              <w:t>Disposition</w:t>
            </w:r>
          </w:p>
        </w:tc>
        <w:tc>
          <w:tcPr>
            <w:tcW w:w="3750" w:type="dxa"/>
            <w:gridSpan w:val="2"/>
            <w:shd w:val="clear" w:color="auto" w:fill="F2F2F2" w:themeFill="background1" w:themeFillShade="F2"/>
          </w:tcPr>
          <w:p w14:paraId="7425670C" w14:textId="77777777" w:rsidR="008D7219" w:rsidRPr="00C82FD3" w:rsidRDefault="008D7219" w:rsidP="00873E9D">
            <w:pPr>
              <w:jc w:val="center"/>
              <w:rPr>
                <w:b/>
                <w:sz w:val="20"/>
                <w:szCs w:val="20"/>
              </w:rPr>
            </w:pPr>
            <w:r w:rsidRPr="00C82FD3">
              <w:rPr>
                <w:b/>
                <w:sz w:val="20"/>
                <w:szCs w:val="20"/>
              </w:rPr>
              <w:t>Comments</w:t>
            </w:r>
            <w:r>
              <w:rPr>
                <w:b/>
                <w:sz w:val="20"/>
                <w:szCs w:val="20"/>
              </w:rPr>
              <w:t xml:space="preserve"> (abbrev.)</w:t>
            </w:r>
          </w:p>
        </w:tc>
      </w:tr>
      <w:tr w:rsidR="004810FF" w:rsidRPr="00AB35C1" w14:paraId="70AE2734" w14:textId="77777777" w:rsidTr="004810FF">
        <w:tc>
          <w:tcPr>
            <w:tcW w:w="900" w:type="dxa"/>
            <w:shd w:val="clear" w:color="auto" w:fill="auto"/>
            <w:vAlign w:val="center"/>
          </w:tcPr>
          <w:p w14:paraId="46BAFD83" w14:textId="41C102DC" w:rsidR="008D7219" w:rsidRPr="00C82FD3" w:rsidRDefault="008D7219" w:rsidP="00F129C9">
            <w:pPr>
              <w:rPr>
                <w:sz w:val="20"/>
                <w:szCs w:val="20"/>
              </w:rPr>
            </w:pPr>
            <w:r>
              <w:rPr>
                <w:sz w:val="20"/>
                <w:szCs w:val="20"/>
              </w:rPr>
              <w:t>F-</w:t>
            </w:r>
            <w:r w:rsidR="00F129C9">
              <w:rPr>
                <w:sz w:val="20"/>
                <w:szCs w:val="20"/>
              </w:rPr>
              <w:t>16-01</w:t>
            </w:r>
          </w:p>
        </w:tc>
        <w:tc>
          <w:tcPr>
            <w:tcW w:w="1170" w:type="dxa"/>
            <w:shd w:val="clear" w:color="auto" w:fill="auto"/>
            <w:vAlign w:val="center"/>
          </w:tcPr>
          <w:p w14:paraId="0E9C5CDD" w14:textId="1BE43835" w:rsidR="008D7219" w:rsidRDefault="00F129C9" w:rsidP="00873E9D">
            <w:pPr>
              <w:rPr>
                <w:sz w:val="20"/>
                <w:szCs w:val="20"/>
              </w:rPr>
            </w:pPr>
            <w:r>
              <w:rPr>
                <w:sz w:val="20"/>
                <w:szCs w:val="20"/>
              </w:rPr>
              <w:t>Senate approved: 11/9/16 Forwarded:11/15/16</w:t>
            </w:r>
          </w:p>
        </w:tc>
        <w:tc>
          <w:tcPr>
            <w:tcW w:w="3426" w:type="dxa"/>
            <w:shd w:val="clear" w:color="auto" w:fill="auto"/>
            <w:vAlign w:val="center"/>
          </w:tcPr>
          <w:p w14:paraId="5D5AE593" w14:textId="03783F31" w:rsidR="00F129C9" w:rsidRPr="00F129C9" w:rsidRDefault="00F129C9" w:rsidP="00F129C9">
            <w:pPr>
              <w:pStyle w:val="NoSpacing"/>
              <w:rPr>
                <w:rFonts w:asciiTheme="minorHAnsi" w:hAnsiTheme="minorHAnsi"/>
                <w:sz w:val="18"/>
                <w:szCs w:val="18"/>
              </w:rPr>
            </w:pPr>
            <w:r w:rsidRPr="00F129C9">
              <w:rPr>
                <w:rFonts w:asciiTheme="minorHAnsi" w:hAnsiTheme="minorHAnsi"/>
                <w:bCs/>
                <w:sz w:val="18"/>
                <w:szCs w:val="18"/>
              </w:rPr>
              <w:t xml:space="preserve">Resolution Regarding </w:t>
            </w:r>
            <w:proofErr w:type="gramStart"/>
            <w:r w:rsidRPr="00F129C9">
              <w:rPr>
                <w:rFonts w:asciiTheme="minorHAnsi" w:hAnsiTheme="minorHAnsi"/>
                <w:bCs/>
                <w:sz w:val="18"/>
                <w:szCs w:val="18"/>
              </w:rPr>
              <w:t>A</w:t>
            </w:r>
            <w:proofErr w:type="gramEnd"/>
            <w:r w:rsidRPr="00F129C9">
              <w:rPr>
                <w:rFonts w:asciiTheme="minorHAnsi" w:hAnsiTheme="minorHAnsi"/>
                <w:bCs/>
                <w:sz w:val="18"/>
                <w:szCs w:val="18"/>
              </w:rPr>
              <w:t xml:space="preserve"> New Undergraduate Catalogue Entry Pertaining To University Policy On The Reporting Of Non-Attendance Or Non-Participation To The United States Department Of Education</w:t>
            </w:r>
          </w:p>
          <w:p w14:paraId="1FA34EB2" w14:textId="6A51C0B6" w:rsidR="008D7219" w:rsidRPr="008210C2" w:rsidRDefault="008D7219" w:rsidP="00873E9D">
            <w:pPr>
              <w:rPr>
                <w:sz w:val="20"/>
                <w:szCs w:val="20"/>
              </w:rPr>
            </w:pPr>
          </w:p>
        </w:tc>
        <w:tc>
          <w:tcPr>
            <w:tcW w:w="1260" w:type="dxa"/>
            <w:shd w:val="clear" w:color="auto" w:fill="auto"/>
            <w:vAlign w:val="center"/>
          </w:tcPr>
          <w:p w14:paraId="570ED648" w14:textId="77777777" w:rsidR="008D7219" w:rsidRPr="00C82FD3" w:rsidRDefault="008D7219" w:rsidP="00873E9D">
            <w:pPr>
              <w:rPr>
                <w:sz w:val="20"/>
                <w:szCs w:val="20"/>
              </w:rPr>
            </w:pPr>
            <w:r>
              <w:rPr>
                <w:sz w:val="20"/>
                <w:szCs w:val="20"/>
              </w:rPr>
              <w:t>Approval</w:t>
            </w:r>
          </w:p>
        </w:tc>
        <w:tc>
          <w:tcPr>
            <w:tcW w:w="1170" w:type="dxa"/>
            <w:shd w:val="clear" w:color="auto" w:fill="auto"/>
            <w:vAlign w:val="center"/>
          </w:tcPr>
          <w:p w14:paraId="6F3F7D44" w14:textId="1B099C01" w:rsidR="008D7219" w:rsidRPr="00C82FD3" w:rsidRDefault="001C6C82" w:rsidP="00873E9D">
            <w:pPr>
              <w:rPr>
                <w:sz w:val="20"/>
                <w:szCs w:val="20"/>
              </w:rPr>
            </w:pPr>
            <w:r>
              <w:rPr>
                <w:sz w:val="20"/>
                <w:szCs w:val="20"/>
              </w:rPr>
              <w:t xml:space="preserve">Approved </w:t>
            </w:r>
          </w:p>
        </w:tc>
        <w:tc>
          <w:tcPr>
            <w:tcW w:w="3750" w:type="dxa"/>
            <w:gridSpan w:val="2"/>
            <w:shd w:val="clear" w:color="auto" w:fill="auto"/>
            <w:vAlign w:val="center"/>
          </w:tcPr>
          <w:p w14:paraId="5E515170" w14:textId="6E6EEE9F" w:rsidR="008D7219" w:rsidRDefault="008D7219" w:rsidP="00F129C9">
            <w:pPr>
              <w:pStyle w:val="ListParagraph"/>
              <w:ind w:left="162"/>
              <w:rPr>
                <w:sz w:val="20"/>
                <w:szCs w:val="20"/>
              </w:rPr>
            </w:pPr>
          </w:p>
        </w:tc>
      </w:tr>
      <w:tr w:rsidR="004810FF" w14:paraId="69A815FE" w14:textId="77777777" w:rsidTr="004810FF">
        <w:tc>
          <w:tcPr>
            <w:tcW w:w="900" w:type="dxa"/>
            <w:shd w:val="clear" w:color="auto" w:fill="auto"/>
            <w:vAlign w:val="center"/>
          </w:tcPr>
          <w:p w14:paraId="6422D6D9" w14:textId="2E76F8DF" w:rsidR="008D7219" w:rsidRPr="00C82FD3" w:rsidRDefault="008D7219" w:rsidP="00F129C9">
            <w:pPr>
              <w:rPr>
                <w:sz w:val="20"/>
                <w:szCs w:val="20"/>
              </w:rPr>
            </w:pPr>
            <w:r>
              <w:rPr>
                <w:sz w:val="20"/>
                <w:szCs w:val="20"/>
              </w:rPr>
              <w:t>F-</w:t>
            </w:r>
            <w:r w:rsidR="00F129C9">
              <w:rPr>
                <w:sz w:val="20"/>
                <w:szCs w:val="20"/>
              </w:rPr>
              <w:t>16-02</w:t>
            </w:r>
          </w:p>
        </w:tc>
        <w:tc>
          <w:tcPr>
            <w:tcW w:w="1170" w:type="dxa"/>
            <w:shd w:val="clear" w:color="auto" w:fill="auto"/>
            <w:vAlign w:val="center"/>
          </w:tcPr>
          <w:p w14:paraId="27991E79" w14:textId="28E3B3FF" w:rsidR="008D7219" w:rsidRDefault="00F129C9" w:rsidP="00873E9D">
            <w:pPr>
              <w:rPr>
                <w:sz w:val="20"/>
                <w:szCs w:val="20"/>
              </w:rPr>
            </w:pPr>
            <w:r>
              <w:rPr>
                <w:sz w:val="20"/>
                <w:szCs w:val="20"/>
              </w:rPr>
              <w:t>Senate approved: 11/9/16 Forwarded:11/15/16</w:t>
            </w:r>
          </w:p>
        </w:tc>
        <w:tc>
          <w:tcPr>
            <w:tcW w:w="3426" w:type="dxa"/>
            <w:shd w:val="clear" w:color="auto" w:fill="auto"/>
            <w:vAlign w:val="center"/>
          </w:tcPr>
          <w:p w14:paraId="6B0FF65A" w14:textId="77777777" w:rsidR="00704937" w:rsidRDefault="00704937" w:rsidP="00704937">
            <w:pPr>
              <w:pStyle w:val="NoSpacing"/>
              <w:ind w:right="-540"/>
              <w:rPr>
                <w:rFonts w:asciiTheme="minorHAnsi" w:hAnsiTheme="minorHAnsi"/>
                <w:bCs/>
                <w:sz w:val="18"/>
                <w:szCs w:val="18"/>
              </w:rPr>
            </w:pPr>
            <w:r>
              <w:rPr>
                <w:rFonts w:asciiTheme="minorHAnsi" w:hAnsiTheme="minorHAnsi"/>
                <w:bCs/>
                <w:sz w:val="18"/>
                <w:szCs w:val="18"/>
              </w:rPr>
              <w:t>Resolution Regarding</w:t>
            </w:r>
            <w:r w:rsidR="00F129C9" w:rsidRPr="00F129C9">
              <w:rPr>
                <w:rFonts w:asciiTheme="minorHAnsi" w:hAnsiTheme="minorHAnsi"/>
                <w:bCs/>
                <w:sz w:val="18"/>
                <w:szCs w:val="18"/>
              </w:rPr>
              <w:t xml:space="preserve"> </w:t>
            </w:r>
            <w:proofErr w:type="gramStart"/>
            <w:r w:rsidR="00F129C9" w:rsidRPr="00F129C9">
              <w:rPr>
                <w:rFonts w:asciiTheme="minorHAnsi" w:hAnsiTheme="minorHAnsi"/>
                <w:bCs/>
                <w:sz w:val="18"/>
                <w:szCs w:val="18"/>
              </w:rPr>
              <w:t>A</w:t>
            </w:r>
            <w:proofErr w:type="gramEnd"/>
            <w:r w:rsidR="00F129C9" w:rsidRPr="00F129C9">
              <w:rPr>
                <w:rFonts w:asciiTheme="minorHAnsi" w:hAnsiTheme="minorHAnsi"/>
                <w:bCs/>
                <w:sz w:val="18"/>
                <w:szCs w:val="18"/>
              </w:rPr>
              <w:t xml:space="preserve"> University-Approved Statement</w:t>
            </w:r>
            <w:r>
              <w:rPr>
                <w:rFonts w:asciiTheme="minorHAnsi" w:hAnsiTheme="minorHAnsi"/>
                <w:bCs/>
                <w:sz w:val="18"/>
                <w:szCs w:val="18"/>
              </w:rPr>
              <w:t xml:space="preserve"> </w:t>
            </w:r>
            <w:r w:rsidR="00F129C9" w:rsidRPr="00F129C9">
              <w:rPr>
                <w:rFonts w:asciiTheme="minorHAnsi" w:hAnsiTheme="minorHAnsi"/>
                <w:bCs/>
                <w:sz w:val="18"/>
                <w:szCs w:val="18"/>
              </w:rPr>
              <w:t xml:space="preserve">For Inclusion In Course Syllabi On </w:t>
            </w:r>
          </w:p>
          <w:p w14:paraId="65B34EE5" w14:textId="16074CA1" w:rsidR="00F129C9" w:rsidRPr="00704937" w:rsidRDefault="00F129C9" w:rsidP="00704937">
            <w:pPr>
              <w:pStyle w:val="NoSpacing"/>
              <w:ind w:right="-540"/>
              <w:rPr>
                <w:rFonts w:asciiTheme="minorHAnsi" w:hAnsiTheme="minorHAnsi"/>
                <w:bCs/>
                <w:sz w:val="18"/>
                <w:szCs w:val="18"/>
              </w:rPr>
            </w:pPr>
            <w:r w:rsidRPr="00F129C9">
              <w:rPr>
                <w:rFonts w:asciiTheme="minorHAnsi" w:hAnsiTheme="minorHAnsi"/>
                <w:bCs/>
                <w:sz w:val="18"/>
                <w:szCs w:val="18"/>
              </w:rPr>
              <w:t xml:space="preserve">Reporting Non-Attendance </w:t>
            </w:r>
            <w:proofErr w:type="gramStart"/>
            <w:r w:rsidRPr="00F129C9">
              <w:rPr>
                <w:rFonts w:asciiTheme="minorHAnsi" w:hAnsiTheme="minorHAnsi"/>
                <w:bCs/>
                <w:sz w:val="18"/>
                <w:szCs w:val="18"/>
              </w:rPr>
              <w:t>Or</w:t>
            </w:r>
            <w:proofErr w:type="gramEnd"/>
            <w:r w:rsidRPr="00F129C9">
              <w:rPr>
                <w:rFonts w:asciiTheme="minorHAnsi" w:hAnsiTheme="minorHAnsi"/>
                <w:bCs/>
                <w:sz w:val="18"/>
                <w:szCs w:val="18"/>
              </w:rPr>
              <w:t xml:space="preserve"> Non-Participation To The United States Department Of Education</w:t>
            </w:r>
          </w:p>
          <w:p w14:paraId="3832C10E" w14:textId="41EABF22" w:rsidR="008D7219" w:rsidRPr="00F129C9" w:rsidRDefault="008D7219" w:rsidP="00873E9D">
            <w:pPr>
              <w:rPr>
                <w:b/>
                <w:sz w:val="20"/>
                <w:szCs w:val="20"/>
              </w:rPr>
            </w:pPr>
          </w:p>
        </w:tc>
        <w:tc>
          <w:tcPr>
            <w:tcW w:w="1260" w:type="dxa"/>
            <w:shd w:val="clear" w:color="auto" w:fill="auto"/>
            <w:vAlign w:val="center"/>
          </w:tcPr>
          <w:p w14:paraId="0E24F94D" w14:textId="77777777" w:rsidR="008D7219" w:rsidRPr="00C82FD3" w:rsidRDefault="008D7219" w:rsidP="00873E9D">
            <w:pPr>
              <w:rPr>
                <w:sz w:val="20"/>
                <w:szCs w:val="20"/>
              </w:rPr>
            </w:pPr>
            <w:r>
              <w:rPr>
                <w:sz w:val="20"/>
                <w:szCs w:val="20"/>
              </w:rPr>
              <w:t>Approval</w:t>
            </w:r>
          </w:p>
        </w:tc>
        <w:tc>
          <w:tcPr>
            <w:tcW w:w="1170" w:type="dxa"/>
            <w:shd w:val="clear" w:color="auto" w:fill="auto"/>
            <w:vAlign w:val="center"/>
          </w:tcPr>
          <w:p w14:paraId="3B7CAFD4" w14:textId="728298F5" w:rsidR="008D7219" w:rsidRPr="00C82FD3" w:rsidRDefault="001C6C82" w:rsidP="00873E9D">
            <w:pPr>
              <w:rPr>
                <w:sz w:val="20"/>
                <w:szCs w:val="20"/>
              </w:rPr>
            </w:pPr>
            <w:r>
              <w:rPr>
                <w:sz w:val="20"/>
                <w:szCs w:val="20"/>
              </w:rPr>
              <w:t>Approved</w:t>
            </w:r>
          </w:p>
        </w:tc>
        <w:tc>
          <w:tcPr>
            <w:tcW w:w="3750" w:type="dxa"/>
            <w:gridSpan w:val="2"/>
            <w:shd w:val="clear" w:color="auto" w:fill="auto"/>
            <w:vAlign w:val="center"/>
          </w:tcPr>
          <w:p w14:paraId="39721BFA" w14:textId="77777777" w:rsidR="008D7219" w:rsidRDefault="008D7219" w:rsidP="00873E9D">
            <w:pPr>
              <w:rPr>
                <w:sz w:val="20"/>
                <w:szCs w:val="20"/>
              </w:rPr>
            </w:pPr>
          </w:p>
        </w:tc>
      </w:tr>
      <w:tr w:rsidR="004810FF" w14:paraId="7919CA30" w14:textId="77777777" w:rsidTr="004810FF">
        <w:tc>
          <w:tcPr>
            <w:tcW w:w="900" w:type="dxa"/>
            <w:shd w:val="clear" w:color="auto" w:fill="auto"/>
            <w:vAlign w:val="center"/>
          </w:tcPr>
          <w:p w14:paraId="706098BF" w14:textId="3A70EDC1" w:rsidR="008D7219" w:rsidRPr="00C82FD3" w:rsidRDefault="00C202E2" w:rsidP="00873E9D">
            <w:pPr>
              <w:rPr>
                <w:sz w:val="20"/>
                <w:szCs w:val="20"/>
              </w:rPr>
            </w:pPr>
            <w:r>
              <w:rPr>
                <w:sz w:val="20"/>
                <w:szCs w:val="20"/>
              </w:rPr>
              <w:t>F-16-03</w:t>
            </w:r>
          </w:p>
        </w:tc>
        <w:tc>
          <w:tcPr>
            <w:tcW w:w="1170" w:type="dxa"/>
            <w:shd w:val="clear" w:color="auto" w:fill="auto"/>
            <w:vAlign w:val="center"/>
          </w:tcPr>
          <w:p w14:paraId="195DCC5F" w14:textId="77777777" w:rsidR="008D7219" w:rsidRDefault="00C202E2" w:rsidP="00873E9D">
            <w:pPr>
              <w:rPr>
                <w:sz w:val="20"/>
                <w:szCs w:val="20"/>
              </w:rPr>
            </w:pPr>
            <w:r>
              <w:rPr>
                <w:sz w:val="20"/>
                <w:szCs w:val="20"/>
              </w:rPr>
              <w:t>Senate approved: 11/30/16</w:t>
            </w:r>
          </w:p>
          <w:p w14:paraId="44D0D1AB" w14:textId="55F82991" w:rsidR="00C202E2" w:rsidRDefault="00C202E2" w:rsidP="00873E9D">
            <w:pPr>
              <w:rPr>
                <w:sz w:val="20"/>
                <w:szCs w:val="20"/>
              </w:rPr>
            </w:pPr>
            <w:r>
              <w:rPr>
                <w:sz w:val="20"/>
                <w:szCs w:val="20"/>
              </w:rPr>
              <w:t>Forwarded: 12/7/16</w:t>
            </w:r>
          </w:p>
        </w:tc>
        <w:tc>
          <w:tcPr>
            <w:tcW w:w="3426" w:type="dxa"/>
            <w:shd w:val="clear" w:color="auto" w:fill="auto"/>
            <w:vAlign w:val="center"/>
          </w:tcPr>
          <w:p w14:paraId="1A0877BF" w14:textId="70EAE6D0" w:rsidR="008D7219" w:rsidRPr="008210C2" w:rsidRDefault="00E61C7C" w:rsidP="00873E9D">
            <w:pPr>
              <w:rPr>
                <w:sz w:val="20"/>
                <w:szCs w:val="20"/>
              </w:rPr>
            </w:pPr>
            <w:r>
              <w:rPr>
                <w:sz w:val="20"/>
                <w:szCs w:val="20"/>
              </w:rPr>
              <w:t>Resolution Regarding Revisions to the Chairperson Document</w:t>
            </w:r>
          </w:p>
        </w:tc>
        <w:tc>
          <w:tcPr>
            <w:tcW w:w="1260" w:type="dxa"/>
            <w:shd w:val="clear" w:color="auto" w:fill="auto"/>
            <w:vAlign w:val="center"/>
          </w:tcPr>
          <w:p w14:paraId="51E6A012" w14:textId="7EA59A4B" w:rsidR="008D7219" w:rsidRPr="00C82FD3" w:rsidRDefault="00E61C7C" w:rsidP="00873E9D">
            <w:pPr>
              <w:rPr>
                <w:sz w:val="20"/>
                <w:szCs w:val="20"/>
              </w:rPr>
            </w:pPr>
            <w:r>
              <w:rPr>
                <w:sz w:val="20"/>
                <w:szCs w:val="20"/>
              </w:rPr>
              <w:t>Approval</w:t>
            </w:r>
          </w:p>
        </w:tc>
        <w:tc>
          <w:tcPr>
            <w:tcW w:w="1170" w:type="dxa"/>
            <w:shd w:val="clear" w:color="auto" w:fill="auto"/>
            <w:vAlign w:val="center"/>
          </w:tcPr>
          <w:p w14:paraId="1797A989" w14:textId="1732D9C8" w:rsidR="008D7219" w:rsidRPr="001C6C82" w:rsidRDefault="001C6C82" w:rsidP="00873E9D">
            <w:pPr>
              <w:rPr>
                <w:b/>
                <w:sz w:val="20"/>
                <w:szCs w:val="20"/>
              </w:rPr>
            </w:pPr>
            <w:r>
              <w:rPr>
                <w:sz w:val="20"/>
                <w:szCs w:val="20"/>
              </w:rPr>
              <w:t>Approved</w:t>
            </w:r>
          </w:p>
        </w:tc>
        <w:tc>
          <w:tcPr>
            <w:tcW w:w="3750" w:type="dxa"/>
            <w:gridSpan w:val="2"/>
            <w:shd w:val="clear" w:color="auto" w:fill="auto"/>
            <w:vAlign w:val="center"/>
          </w:tcPr>
          <w:p w14:paraId="304F9BD3" w14:textId="77777777" w:rsidR="008D7219" w:rsidRDefault="008D7219" w:rsidP="00873E9D">
            <w:pPr>
              <w:rPr>
                <w:sz w:val="20"/>
                <w:szCs w:val="20"/>
              </w:rPr>
            </w:pPr>
          </w:p>
        </w:tc>
      </w:tr>
      <w:tr w:rsidR="004810FF" w14:paraId="594953BF" w14:textId="77777777" w:rsidTr="004810FF">
        <w:trPr>
          <w:trHeight w:val="2933"/>
        </w:trPr>
        <w:tc>
          <w:tcPr>
            <w:tcW w:w="900" w:type="dxa"/>
          </w:tcPr>
          <w:p w14:paraId="6836149F" w14:textId="6E23624F" w:rsidR="00025705" w:rsidRPr="00C82FD3" w:rsidRDefault="00025705" w:rsidP="008C496F">
            <w:pPr>
              <w:rPr>
                <w:sz w:val="20"/>
                <w:szCs w:val="20"/>
              </w:rPr>
            </w:pPr>
            <w:r>
              <w:rPr>
                <w:sz w:val="20"/>
                <w:szCs w:val="20"/>
              </w:rPr>
              <w:t>S-17-04</w:t>
            </w:r>
          </w:p>
        </w:tc>
        <w:tc>
          <w:tcPr>
            <w:tcW w:w="1170" w:type="dxa"/>
          </w:tcPr>
          <w:p w14:paraId="7DC1FB0A" w14:textId="5E3D3FA5" w:rsidR="00025705" w:rsidRDefault="00025705" w:rsidP="00025705">
            <w:pPr>
              <w:rPr>
                <w:sz w:val="20"/>
                <w:szCs w:val="20"/>
              </w:rPr>
            </w:pPr>
            <w:r>
              <w:rPr>
                <w:sz w:val="20"/>
                <w:szCs w:val="20"/>
              </w:rPr>
              <w:t>Senate approved: 2/8/2017</w:t>
            </w:r>
          </w:p>
          <w:p w14:paraId="15C8A253" w14:textId="59A312EE" w:rsidR="00025705" w:rsidRDefault="00025705" w:rsidP="00025705">
            <w:pPr>
              <w:rPr>
                <w:sz w:val="20"/>
                <w:szCs w:val="20"/>
              </w:rPr>
            </w:pPr>
            <w:r>
              <w:rPr>
                <w:sz w:val="20"/>
                <w:szCs w:val="20"/>
              </w:rPr>
              <w:t>Forwarded: 2/13/2017</w:t>
            </w:r>
          </w:p>
        </w:tc>
        <w:tc>
          <w:tcPr>
            <w:tcW w:w="3426" w:type="dxa"/>
          </w:tcPr>
          <w:p w14:paraId="4D080F03" w14:textId="0FB95702" w:rsidR="00025705" w:rsidRPr="008210C2" w:rsidRDefault="00025705" w:rsidP="00025705">
            <w:pPr>
              <w:rPr>
                <w:sz w:val="20"/>
                <w:szCs w:val="20"/>
              </w:rPr>
            </w:pPr>
            <w:r>
              <w:rPr>
                <w:sz w:val="20"/>
                <w:szCs w:val="20"/>
              </w:rPr>
              <w:t>Resolution Regarding Inaction on Curriculum Proposals Presented to the Office of the Provost for Action</w:t>
            </w:r>
          </w:p>
        </w:tc>
        <w:tc>
          <w:tcPr>
            <w:tcW w:w="1260" w:type="dxa"/>
          </w:tcPr>
          <w:p w14:paraId="4934BD28" w14:textId="77777777" w:rsidR="00025705" w:rsidRPr="00C82FD3" w:rsidRDefault="00025705" w:rsidP="008C496F">
            <w:pPr>
              <w:rPr>
                <w:sz w:val="20"/>
                <w:szCs w:val="20"/>
              </w:rPr>
            </w:pPr>
            <w:r>
              <w:rPr>
                <w:sz w:val="20"/>
                <w:szCs w:val="20"/>
              </w:rPr>
              <w:t>Approval</w:t>
            </w:r>
          </w:p>
        </w:tc>
        <w:tc>
          <w:tcPr>
            <w:tcW w:w="1170" w:type="dxa"/>
          </w:tcPr>
          <w:p w14:paraId="074983EC" w14:textId="75935448" w:rsidR="00025705" w:rsidRPr="001C6C82" w:rsidRDefault="00025705" w:rsidP="008C496F">
            <w:pPr>
              <w:rPr>
                <w:b/>
                <w:sz w:val="20"/>
                <w:szCs w:val="20"/>
              </w:rPr>
            </w:pPr>
            <w:r>
              <w:rPr>
                <w:sz w:val="20"/>
                <w:szCs w:val="20"/>
              </w:rPr>
              <w:t>Disapproved</w:t>
            </w:r>
          </w:p>
        </w:tc>
        <w:tc>
          <w:tcPr>
            <w:tcW w:w="3750" w:type="dxa"/>
            <w:gridSpan w:val="2"/>
          </w:tcPr>
          <w:p w14:paraId="46C13492" w14:textId="4BC81730" w:rsidR="00025705" w:rsidRPr="00025705" w:rsidRDefault="00025705" w:rsidP="00025705">
            <w:pPr>
              <w:rPr>
                <w:sz w:val="18"/>
                <w:szCs w:val="18"/>
              </w:rPr>
            </w:pPr>
            <w:proofErr w:type="spellStart"/>
            <w:r>
              <w:rPr>
                <w:sz w:val="18"/>
                <w:szCs w:val="18"/>
              </w:rPr>
              <w:t>a</w:t>
            </w:r>
            <w:proofErr w:type="spellEnd"/>
            <w:r>
              <w:rPr>
                <w:sz w:val="18"/>
                <w:szCs w:val="18"/>
              </w:rPr>
              <w:t>)</w:t>
            </w:r>
            <w:r w:rsidR="00704937">
              <w:rPr>
                <w:sz w:val="18"/>
                <w:szCs w:val="18"/>
              </w:rPr>
              <w:t xml:space="preserve"> </w:t>
            </w:r>
            <w:r w:rsidRPr="00025705">
              <w:rPr>
                <w:sz w:val="18"/>
                <w:szCs w:val="18"/>
              </w:rPr>
              <w:t>The resolution does not accurately represent the facts as</w:t>
            </w:r>
            <w:r w:rsidR="00807D6E">
              <w:rPr>
                <w:sz w:val="18"/>
                <w:szCs w:val="18"/>
              </w:rPr>
              <w:t xml:space="preserve"> presented </w:t>
            </w:r>
            <w:r w:rsidR="00D16789">
              <w:rPr>
                <w:sz w:val="18"/>
                <w:szCs w:val="18"/>
              </w:rPr>
              <w:t xml:space="preserve">by </w:t>
            </w:r>
            <w:r w:rsidRPr="00025705">
              <w:rPr>
                <w:sz w:val="18"/>
                <w:szCs w:val="18"/>
              </w:rPr>
              <w:t xml:space="preserve">Provost </w:t>
            </w:r>
            <w:proofErr w:type="spellStart"/>
            <w:r w:rsidRPr="00025705">
              <w:rPr>
                <w:sz w:val="18"/>
                <w:szCs w:val="18"/>
              </w:rPr>
              <w:t>Durnin</w:t>
            </w:r>
            <w:proofErr w:type="spellEnd"/>
            <w:r w:rsidRPr="00025705">
              <w:rPr>
                <w:sz w:val="18"/>
                <w:szCs w:val="18"/>
              </w:rPr>
              <w:t xml:space="preserve">. </w:t>
            </w:r>
          </w:p>
          <w:p w14:paraId="2A56A6CA" w14:textId="55E2B88D" w:rsidR="00025705" w:rsidRPr="00025705" w:rsidRDefault="00025705" w:rsidP="00025705">
            <w:pPr>
              <w:widowControl w:val="0"/>
              <w:tabs>
                <w:tab w:val="left" w:pos="220"/>
                <w:tab w:val="left" w:pos="720"/>
              </w:tabs>
              <w:autoSpaceDE w:val="0"/>
              <w:autoSpaceDN w:val="0"/>
              <w:adjustRightInd w:val="0"/>
              <w:spacing w:after="426"/>
              <w:rPr>
                <w:rFonts w:cs="Helvetica"/>
                <w:sz w:val="18"/>
                <w:szCs w:val="18"/>
              </w:rPr>
            </w:pPr>
            <w:r w:rsidRPr="00025705">
              <w:rPr>
                <w:rFonts w:cs="Helvetica"/>
                <w:sz w:val="18"/>
                <w:szCs w:val="18"/>
              </w:rPr>
              <w:t>b)</w:t>
            </w:r>
            <w:r w:rsidR="00704937">
              <w:rPr>
                <w:rFonts w:cs="Helvetica"/>
                <w:sz w:val="18"/>
                <w:szCs w:val="18"/>
              </w:rPr>
              <w:t xml:space="preserve"> </w:t>
            </w:r>
            <w:r w:rsidRPr="00025705">
              <w:rPr>
                <w:rFonts w:cs="Helvetica"/>
                <w:sz w:val="18"/>
                <w:szCs w:val="18"/>
              </w:rPr>
              <w:t xml:space="preserve">The resolution does not reflect the agreement between the </w:t>
            </w:r>
            <w:r w:rsidRPr="00025705">
              <w:rPr>
                <w:rFonts w:cs="Helvetica"/>
                <w:position w:val="2"/>
                <w:sz w:val="18"/>
                <w:szCs w:val="18"/>
              </w:rPr>
              <w:t xml:space="preserve">administration and </w:t>
            </w:r>
            <w:r w:rsidRPr="00025705">
              <w:rPr>
                <w:rFonts w:cs="Helvetica"/>
                <w:sz w:val="18"/>
                <w:szCs w:val="18"/>
              </w:rPr>
              <w:t xml:space="preserve">executive committee of the Faculty Senate to make a </w:t>
            </w:r>
            <w:r w:rsidRPr="00025705">
              <w:rPr>
                <w:rFonts w:cs="Helvetica"/>
                <w:position w:val="2"/>
                <w:sz w:val="18"/>
                <w:szCs w:val="18"/>
              </w:rPr>
              <w:t xml:space="preserve">good faith effort to discuss and </w:t>
            </w:r>
            <w:r w:rsidRPr="00025705">
              <w:rPr>
                <w:rFonts w:cs="Helvetica"/>
                <w:sz w:val="18"/>
                <w:szCs w:val="18"/>
              </w:rPr>
              <w:t xml:space="preserve">attempt to resolve such matters before they are brought to the </w:t>
            </w:r>
            <w:r w:rsidRPr="00025705">
              <w:rPr>
                <w:rFonts w:cs="Helvetica"/>
                <w:position w:val="2"/>
                <w:sz w:val="18"/>
                <w:szCs w:val="18"/>
              </w:rPr>
              <w:t xml:space="preserve">senate floor for action. </w:t>
            </w:r>
            <w:r w:rsidRPr="00025705">
              <w:rPr>
                <w:rFonts w:cs="Helvetica"/>
                <w:sz w:val="18"/>
                <w:szCs w:val="18"/>
              </w:rPr>
              <w:t xml:space="preserve">Furthermore, the resolution does not reflect the spirit of open communication </w:t>
            </w:r>
            <w:r w:rsidRPr="00025705">
              <w:rPr>
                <w:rFonts w:cs="Helvetica"/>
                <w:position w:val="2"/>
                <w:sz w:val="18"/>
                <w:szCs w:val="18"/>
              </w:rPr>
              <w:t xml:space="preserve">and </w:t>
            </w:r>
            <w:r w:rsidRPr="00025705">
              <w:rPr>
                <w:rFonts w:cs="Helvetica"/>
                <w:sz w:val="18"/>
                <w:szCs w:val="18"/>
              </w:rPr>
              <w:t xml:space="preserve">transparency the administration has strived to achieve with the </w:t>
            </w:r>
            <w:r w:rsidRPr="00025705">
              <w:rPr>
                <w:rFonts w:cs="Helvetica"/>
                <w:position w:val="2"/>
                <w:sz w:val="18"/>
                <w:szCs w:val="18"/>
              </w:rPr>
              <w:t xml:space="preserve">faculty and community. </w:t>
            </w:r>
            <w:r w:rsidRPr="00025705">
              <w:rPr>
                <w:rFonts w:ascii="MS Mincho" w:eastAsia="MS Mincho" w:hAnsi="MS Mincho" w:cs="MS Mincho"/>
                <w:sz w:val="18"/>
                <w:szCs w:val="18"/>
              </w:rPr>
              <w:t> </w:t>
            </w:r>
          </w:p>
        </w:tc>
      </w:tr>
      <w:tr w:rsidR="004810FF" w14:paraId="00834E93" w14:textId="77777777" w:rsidTr="004810FF">
        <w:tc>
          <w:tcPr>
            <w:tcW w:w="900" w:type="dxa"/>
          </w:tcPr>
          <w:p w14:paraId="0E05D0D0" w14:textId="276D4020" w:rsidR="00665B99" w:rsidRPr="00C82FD3" w:rsidRDefault="00665B99" w:rsidP="00E82C86">
            <w:pPr>
              <w:rPr>
                <w:sz w:val="20"/>
                <w:szCs w:val="20"/>
              </w:rPr>
            </w:pPr>
            <w:r>
              <w:rPr>
                <w:sz w:val="20"/>
                <w:szCs w:val="20"/>
              </w:rPr>
              <w:t>F</w:t>
            </w:r>
            <w:r w:rsidR="004810FF">
              <w:rPr>
                <w:sz w:val="20"/>
                <w:szCs w:val="20"/>
              </w:rPr>
              <w:t>S-17</w:t>
            </w:r>
            <w:r>
              <w:rPr>
                <w:sz w:val="20"/>
                <w:szCs w:val="20"/>
              </w:rPr>
              <w:t>-0</w:t>
            </w:r>
            <w:r>
              <w:rPr>
                <w:sz w:val="20"/>
                <w:szCs w:val="20"/>
              </w:rPr>
              <w:t>5</w:t>
            </w:r>
          </w:p>
        </w:tc>
        <w:tc>
          <w:tcPr>
            <w:tcW w:w="1170" w:type="dxa"/>
          </w:tcPr>
          <w:p w14:paraId="10286E24" w14:textId="3B76C1B8" w:rsidR="00665B99" w:rsidRDefault="00665B99" w:rsidP="004810FF">
            <w:pPr>
              <w:rPr>
                <w:sz w:val="20"/>
                <w:szCs w:val="20"/>
              </w:rPr>
            </w:pPr>
            <w:r>
              <w:rPr>
                <w:sz w:val="20"/>
                <w:szCs w:val="20"/>
              </w:rPr>
              <w:t xml:space="preserve">Senate approved: </w:t>
            </w:r>
            <w:r w:rsidR="004810FF">
              <w:rPr>
                <w:sz w:val="20"/>
                <w:szCs w:val="20"/>
              </w:rPr>
              <w:t>2/22/17</w:t>
            </w:r>
          </w:p>
          <w:p w14:paraId="7A1625DA" w14:textId="7F30DC31" w:rsidR="00665B99" w:rsidRDefault="00665B99" w:rsidP="004810FF">
            <w:pPr>
              <w:rPr>
                <w:sz w:val="20"/>
                <w:szCs w:val="20"/>
              </w:rPr>
            </w:pPr>
            <w:r>
              <w:rPr>
                <w:sz w:val="20"/>
                <w:szCs w:val="20"/>
              </w:rPr>
              <w:t xml:space="preserve">Forwarded: </w:t>
            </w:r>
            <w:r w:rsidR="004810FF">
              <w:rPr>
                <w:sz w:val="20"/>
                <w:szCs w:val="20"/>
              </w:rPr>
              <w:t>2/27/17</w:t>
            </w:r>
          </w:p>
        </w:tc>
        <w:tc>
          <w:tcPr>
            <w:tcW w:w="3426" w:type="dxa"/>
          </w:tcPr>
          <w:p w14:paraId="3EB7270A" w14:textId="18648943" w:rsidR="00665B99" w:rsidRPr="008210C2" w:rsidRDefault="00665B99" w:rsidP="00665B99">
            <w:pPr>
              <w:rPr>
                <w:sz w:val="20"/>
                <w:szCs w:val="20"/>
              </w:rPr>
            </w:pPr>
            <w:r>
              <w:rPr>
                <w:sz w:val="20"/>
                <w:szCs w:val="20"/>
              </w:rPr>
              <w:t xml:space="preserve">Resolution Regarding </w:t>
            </w:r>
            <w:r w:rsidR="004810FF">
              <w:rPr>
                <w:sz w:val="20"/>
                <w:szCs w:val="20"/>
              </w:rPr>
              <w:t>Guidelines for Addressing Academic Misconduct</w:t>
            </w:r>
          </w:p>
        </w:tc>
        <w:tc>
          <w:tcPr>
            <w:tcW w:w="1260" w:type="dxa"/>
          </w:tcPr>
          <w:p w14:paraId="13617471" w14:textId="77777777" w:rsidR="00665B99" w:rsidRPr="00C82FD3" w:rsidRDefault="00665B99" w:rsidP="00E82C86">
            <w:pPr>
              <w:rPr>
                <w:sz w:val="20"/>
                <w:szCs w:val="20"/>
              </w:rPr>
            </w:pPr>
            <w:r>
              <w:rPr>
                <w:sz w:val="20"/>
                <w:szCs w:val="20"/>
              </w:rPr>
              <w:t>Approval</w:t>
            </w:r>
          </w:p>
        </w:tc>
        <w:tc>
          <w:tcPr>
            <w:tcW w:w="1170" w:type="dxa"/>
          </w:tcPr>
          <w:p w14:paraId="1CBCC34F" w14:textId="77777777" w:rsidR="00665B99" w:rsidRPr="001C6C82" w:rsidRDefault="00665B99" w:rsidP="00E82C86">
            <w:pPr>
              <w:rPr>
                <w:b/>
                <w:sz w:val="20"/>
                <w:szCs w:val="20"/>
              </w:rPr>
            </w:pPr>
            <w:r>
              <w:rPr>
                <w:sz w:val="20"/>
                <w:szCs w:val="20"/>
              </w:rPr>
              <w:t>Approved</w:t>
            </w:r>
          </w:p>
        </w:tc>
        <w:tc>
          <w:tcPr>
            <w:tcW w:w="3750" w:type="dxa"/>
            <w:gridSpan w:val="2"/>
          </w:tcPr>
          <w:p w14:paraId="109D6047" w14:textId="77777777" w:rsidR="00665B99" w:rsidRDefault="00665B99" w:rsidP="00E82C86">
            <w:pPr>
              <w:rPr>
                <w:sz w:val="20"/>
                <w:szCs w:val="20"/>
              </w:rPr>
            </w:pPr>
          </w:p>
        </w:tc>
      </w:tr>
      <w:tr w:rsidR="004810FF" w14:paraId="6728E6A0" w14:textId="77777777" w:rsidTr="004810FF">
        <w:tc>
          <w:tcPr>
            <w:tcW w:w="900" w:type="dxa"/>
          </w:tcPr>
          <w:p w14:paraId="486A1B85" w14:textId="08B7B6AA" w:rsidR="00665B99" w:rsidRPr="00C82FD3" w:rsidRDefault="00665B99" w:rsidP="00E82C86">
            <w:pPr>
              <w:rPr>
                <w:sz w:val="20"/>
                <w:szCs w:val="20"/>
              </w:rPr>
            </w:pPr>
            <w:r>
              <w:rPr>
                <w:sz w:val="20"/>
                <w:szCs w:val="20"/>
              </w:rPr>
              <w:t>F-16-0</w:t>
            </w:r>
            <w:r>
              <w:rPr>
                <w:sz w:val="20"/>
                <w:szCs w:val="20"/>
              </w:rPr>
              <w:t>6</w:t>
            </w:r>
          </w:p>
        </w:tc>
        <w:tc>
          <w:tcPr>
            <w:tcW w:w="1170" w:type="dxa"/>
          </w:tcPr>
          <w:p w14:paraId="29AE870C" w14:textId="54B58EF4" w:rsidR="00665B99" w:rsidRDefault="00665B99" w:rsidP="004810FF">
            <w:pPr>
              <w:rPr>
                <w:sz w:val="20"/>
                <w:szCs w:val="20"/>
              </w:rPr>
            </w:pPr>
            <w:r>
              <w:rPr>
                <w:sz w:val="20"/>
                <w:szCs w:val="20"/>
              </w:rPr>
              <w:t xml:space="preserve">Senate approved: </w:t>
            </w:r>
            <w:r w:rsidR="004810FF">
              <w:rPr>
                <w:sz w:val="20"/>
                <w:szCs w:val="20"/>
              </w:rPr>
              <w:t>2/22/17</w:t>
            </w:r>
          </w:p>
          <w:p w14:paraId="277FB279" w14:textId="4FB2C60C" w:rsidR="00665B99" w:rsidRDefault="00665B99" w:rsidP="004810FF">
            <w:pPr>
              <w:rPr>
                <w:sz w:val="20"/>
                <w:szCs w:val="20"/>
              </w:rPr>
            </w:pPr>
            <w:r>
              <w:rPr>
                <w:sz w:val="20"/>
                <w:szCs w:val="20"/>
              </w:rPr>
              <w:t xml:space="preserve">Forwarded: </w:t>
            </w:r>
            <w:r w:rsidR="004810FF">
              <w:rPr>
                <w:sz w:val="20"/>
                <w:szCs w:val="20"/>
              </w:rPr>
              <w:t>2/27/17</w:t>
            </w:r>
          </w:p>
        </w:tc>
        <w:tc>
          <w:tcPr>
            <w:tcW w:w="3426" w:type="dxa"/>
          </w:tcPr>
          <w:p w14:paraId="3198746B" w14:textId="63F28D14" w:rsidR="00665B99" w:rsidRDefault="00665B99" w:rsidP="00665B99">
            <w:pPr>
              <w:rPr>
                <w:sz w:val="20"/>
                <w:szCs w:val="20"/>
              </w:rPr>
            </w:pPr>
            <w:r>
              <w:rPr>
                <w:sz w:val="20"/>
                <w:szCs w:val="20"/>
              </w:rPr>
              <w:t xml:space="preserve">Resolution Regarding </w:t>
            </w:r>
            <w:r w:rsidR="004810FF">
              <w:rPr>
                <w:sz w:val="20"/>
                <w:szCs w:val="20"/>
              </w:rPr>
              <w:t>the BOR Code of Conduct</w:t>
            </w:r>
          </w:p>
          <w:p w14:paraId="68EEA100" w14:textId="162F59E5" w:rsidR="00665B99" w:rsidRPr="008210C2" w:rsidRDefault="00665B99" w:rsidP="00665B99">
            <w:pPr>
              <w:rPr>
                <w:sz w:val="20"/>
                <w:szCs w:val="20"/>
              </w:rPr>
            </w:pPr>
          </w:p>
        </w:tc>
        <w:tc>
          <w:tcPr>
            <w:tcW w:w="1260" w:type="dxa"/>
          </w:tcPr>
          <w:p w14:paraId="25A35D0F" w14:textId="0C6F3AFF" w:rsidR="00665B99" w:rsidRPr="00C82FD3" w:rsidRDefault="004810FF" w:rsidP="00E82C86">
            <w:pPr>
              <w:rPr>
                <w:sz w:val="20"/>
                <w:szCs w:val="20"/>
              </w:rPr>
            </w:pPr>
            <w:r>
              <w:rPr>
                <w:sz w:val="20"/>
                <w:szCs w:val="20"/>
              </w:rPr>
              <w:t>For Information</w:t>
            </w:r>
          </w:p>
        </w:tc>
        <w:tc>
          <w:tcPr>
            <w:tcW w:w="1170" w:type="dxa"/>
          </w:tcPr>
          <w:p w14:paraId="0735DD0C" w14:textId="32AC339F" w:rsidR="00665B99" w:rsidRPr="001C6C82" w:rsidRDefault="004810FF" w:rsidP="00E82C86">
            <w:pPr>
              <w:rPr>
                <w:b/>
                <w:sz w:val="20"/>
                <w:szCs w:val="20"/>
              </w:rPr>
            </w:pPr>
            <w:r>
              <w:rPr>
                <w:sz w:val="20"/>
                <w:szCs w:val="20"/>
              </w:rPr>
              <w:t>Noted</w:t>
            </w:r>
          </w:p>
        </w:tc>
        <w:tc>
          <w:tcPr>
            <w:tcW w:w="3750" w:type="dxa"/>
            <w:gridSpan w:val="2"/>
          </w:tcPr>
          <w:p w14:paraId="386DCB9C" w14:textId="13452E76" w:rsidR="00665B99" w:rsidRDefault="004810FF" w:rsidP="00E82C86">
            <w:pPr>
              <w:rPr>
                <w:sz w:val="20"/>
                <w:szCs w:val="20"/>
              </w:rPr>
            </w:pPr>
            <w:r>
              <w:rPr>
                <w:sz w:val="20"/>
                <w:szCs w:val="20"/>
              </w:rPr>
              <w:t>Resolution for BOR.  Thank you for informing me.</w:t>
            </w:r>
          </w:p>
        </w:tc>
      </w:tr>
    </w:tbl>
    <w:p w14:paraId="0059FFD1" w14:textId="44C145CA" w:rsidR="008D7219" w:rsidRPr="008D7219" w:rsidRDefault="008D7219" w:rsidP="008D7219">
      <w:pPr>
        <w:jc w:val="center"/>
        <w:rPr>
          <w:color w:val="FF0000"/>
          <w:sz w:val="20"/>
          <w:szCs w:val="20"/>
        </w:rPr>
      </w:pPr>
    </w:p>
    <w:p w14:paraId="33B38E49" w14:textId="40B6F8A0" w:rsidR="00166729" w:rsidRDefault="008D7219" w:rsidP="00665B99">
      <w:pPr>
        <w:jc w:val="center"/>
        <w:rPr>
          <w:b/>
          <w:color w:val="FF0000"/>
          <w:sz w:val="21"/>
          <w:szCs w:val="21"/>
        </w:rPr>
      </w:pPr>
      <w:r w:rsidRPr="00E61C7C">
        <w:rPr>
          <w:b/>
          <w:color w:val="FF0000"/>
          <w:sz w:val="21"/>
          <w:szCs w:val="21"/>
        </w:rPr>
        <w:t>Spring 2</w:t>
      </w:r>
      <w:r w:rsidR="00E239E4">
        <w:rPr>
          <w:b/>
          <w:color w:val="FF0000"/>
          <w:sz w:val="21"/>
          <w:szCs w:val="21"/>
        </w:rPr>
        <w:t xml:space="preserve">017 meetings: </w:t>
      </w:r>
      <w:r w:rsidRPr="00E61C7C">
        <w:rPr>
          <w:b/>
          <w:color w:val="FF0000"/>
          <w:sz w:val="21"/>
          <w:szCs w:val="21"/>
        </w:rPr>
        <w:t>March 29, April 12, April 26, May 3.</w:t>
      </w:r>
    </w:p>
    <w:p w14:paraId="6CCF2B53" w14:textId="77777777" w:rsidR="00AB6271" w:rsidRDefault="00AB6271" w:rsidP="00665B99">
      <w:pPr>
        <w:jc w:val="center"/>
        <w:rPr>
          <w:b/>
          <w:color w:val="FF0000"/>
          <w:sz w:val="21"/>
          <w:szCs w:val="21"/>
        </w:rPr>
      </w:pPr>
    </w:p>
    <w:p w14:paraId="62BE0576" w14:textId="4E36087A" w:rsidR="00AB6271" w:rsidRPr="00E61C7C" w:rsidRDefault="00AB6271" w:rsidP="00665B99">
      <w:pPr>
        <w:jc w:val="center"/>
        <w:rPr>
          <w:b/>
          <w:color w:val="FF0000"/>
          <w:sz w:val="21"/>
          <w:szCs w:val="21"/>
        </w:rPr>
      </w:pPr>
      <w:bookmarkStart w:id="0" w:name="_GoBack"/>
      <w:bookmarkEnd w:id="0"/>
    </w:p>
    <w:sectPr w:rsidR="00AB6271" w:rsidRPr="00E61C7C" w:rsidSect="008D7219">
      <w:headerReference w:type="default" r:id="rId11"/>
      <w:headerReference w:type="first" r:id="rId12"/>
      <w:pgSz w:w="12240" w:h="15840"/>
      <w:pgMar w:top="1080" w:right="1008" w:bottom="907"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1EAE2" w14:textId="77777777" w:rsidR="00794EFA" w:rsidRDefault="00794EFA" w:rsidP="00BE615F">
      <w:pPr>
        <w:spacing w:after="0" w:line="240" w:lineRule="auto"/>
      </w:pPr>
      <w:r>
        <w:separator/>
      </w:r>
    </w:p>
  </w:endnote>
  <w:endnote w:type="continuationSeparator" w:id="0">
    <w:p w14:paraId="14227B6F" w14:textId="77777777" w:rsidR="00794EFA" w:rsidRDefault="00794EFA" w:rsidP="00BE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082F2" w14:textId="77777777" w:rsidR="00794EFA" w:rsidRDefault="00794EFA" w:rsidP="00BE615F">
      <w:pPr>
        <w:spacing w:after="0" w:line="240" w:lineRule="auto"/>
      </w:pPr>
      <w:r>
        <w:separator/>
      </w:r>
    </w:p>
  </w:footnote>
  <w:footnote w:type="continuationSeparator" w:id="0">
    <w:p w14:paraId="50788B7B" w14:textId="77777777" w:rsidR="00794EFA" w:rsidRDefault="00794EFA" w:rsidP="00BE61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0778" w14:textId="77777777" w:rsidR="00E558F4" w:rsidRPr="006772AD" w:rsidRDefault="00E558F4" w:rsidP="00096134">
    <w:pPr>
      <w:pStyle w:val="NoSpacing"/>
      <w:rPr>
        <w:rFonts w:asciiTheme="minorHAnsi" w:hAnsiTheme="minorHAnsi"/>
        <w:b/>
        <w:noProof/>
        <w:sz w:val="22"/>
        <w:szCs w:val="22"/>
      </w:rPr>
    </w:pPr>
  </w:p>
  <w:p w14:paraId="0E597E1C" w14:textId="77777777" w:rsidR="00E558F4" w:rsidRPr="00BE615F" w:rsidRDefault="00E558F4" w:rsidP="00BE615F">
    <w:pPr>
      <w:pStyle w:val="NoSpacing"/>
      <w:pBdr>
        <w:bottom w:val="single" w:sz="6" w:space="1" w:color="auto"/>
      </w:pBdr>
      <w:jc w:val="right"/>
      <w:rPr>
        <w:rFonts w:asciiTheme="minorHAnsi" w:hAnsiTheme="minorHAnsi"/>
        <w:b/>
        <w:noProof/>
        <w:sz w:val="16"/>
        <w:szCs w:val="16"/>
      </w:rPr>
    </w:pPr>
  </w:p>
  <w:p w14:paraId="1A47A0DC" w14:textId="77777777" w:rsidR="00E558F4" w:rsidRDefault="00E558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24FF5" w14:textId="77777777" w:rsidR="00E558F4" w:rsidRDefault="00E558F4" w:rsidP="00927CCB">
    <w:pPr>
      <w:pStyle w:val="Header"/>
      <w:ind w:left="-1440"/>
    </w:pPr>
    <w:r>
      <w:rPr>
        <w:noProof/>
        <w:lang w:eastAsia="zh-CN"/>
      </w:rPr>
      <w:drawing>
        <wp:inline distT="0" distB="0" distL="0" distR="0" wp14:anchorId="43235D4F" wp14:editId="3EBF7FC2">
          <wp:extent cx="7813964" cy="1757548"/>
          <wp:effectExtent l="0" t="0" r="0" b="0"/>
          <wp:docPr id="3" name="Picture 3" descr="SCSU_header_faculty-s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U_header_faculty-sen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75891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A83174"/>
    <w:multiLevelType w:val="hybridMultilevel"/>
    <w:tmpl w:val="A72A7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D10DD"/>
    <w:multiLevelType w:val="hybridMultilevel"/>
    <w:tmpl w:val="22B6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C4CF7"/>
    <w:multiLevelType w:val="hybridMultilevel"/>
    <w:tmpl w:val="B856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50935"/>
    <w:multiLevelType w:val="hybridMultilevel"/>
    <w:tmpl w:val="DBAA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864C9"/>
    <w:multiLevelType w:val="hybridMultilevel"/>
    <w:tmpl w:val="D08AD8EE"/>
    <w:lvl w:ilvl="0" w:tplc="9CA26A76">
      <w:start w:val="1"/>
      <w:numFmt w:val="decimal"/>
      <w:lvlText w:val="%1."/>
      <w:lvlJc w:val="left"/>
      <w:pPr>
        <w:tabs>
          <w:tab w:val="num" w:pos="1500"/>
        </w:tabs>
        <w:ind w:left="15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8614E"/>
    <w:multiLevelType w:val="singleLevel"/>
    <w:tmpl w:val="521A30FC"/>
    <w:lvl w:ilvl="0">
      <w:start w:val="1"/>
      <w:numFmt w:val="decimal"/>
      <w:lvlText w:val="(%1)"/>
      <w:lvlJc w:val="left"/>
      <w:pPr>
        <w:tabs>
          <w:tab w:val="num" w:pos="2190"/>
        </w:tabs>
        <w:ind w:left="2190" w:hanging="390"/>
      </w:pPr>
    </w:lvl>
  </w:abstractNum>
  <w:abstractNum w:abstractNumId="7">
    <w:nsid w:val="1BCC0AD3"/>
    <w:multiLevelType w:val="hybridMultilevel"/>
    <w:tmpl w:val="054EDBCC"/>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D3BA6"/>
    <w:multiLevelType w:val="hybridMultilevel"/>
    <w:tmpl w:val="206E6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6085D"/>
    <w:multiLevelType w:val="hybridMultilevel"/>
    <w:tmpl w:val="EB3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836D7"/>
    <w:multiLevelType w:val="hybridMultilevel"/>
    <w:tmpl w:val="2B780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B465E3A"/>
    <w:multiLevelType w:val="hybridMultilevel"/>
    <w:tmpl w:val="2AD6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A045F"/>
    <w:multiLevelType w:val="hybridMultilevel"/>
    <w:tmpl w:val="9C4CA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673776"/>
    <w:multiLevelType w:val="hybridMultilevel"/>
    <w:tmpl w:val="BD52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767DA"/>
    <w:multiLevelType w:val="hybridMultilevel"/>
    <w:tmpl w:val="C7745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3A1F0B"/>
    <w:multiLevelType w:val="hybridMultilevel"/>
    <w:tmpl w:val="43B031F0"/>
    <w:lvl w:ilvl="0" w:tplc="2B12D664">
      <w:start w:val="1"/>
      <w:numFmt w:val="lowerLetter"/>
      <w:lvlText w:val="%1."/>
      <w:lvlJc w:val="left"/>
      <w:pPr>
        <w:tabs>
          <w:tab w:val="num" w:pos="1800"/>
        </w:tabs>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8B7798"/>
    <w:multiLevelType w:val="singleLevel"/>
    <w:tmpl w:val="A954B0A6"/>
    <w:lvl w:ilvl="0">
      <w:start w:val="1"/>
      <w:numFmt w:val="upperLetter"/>
      <w:lvlText w:val="%1."/>
      <w:lvlJc w:val="left"/>
      <w:pPr>
        <w:tabs>
          <w:tab w:val="num" w:pos="1140"/>
        </w:tabs>
        <w:ind w:left="1140" w:hanging="420"/>
      </w:pPr>
      <w:rPr>
        <w:rFonts w:hint="default"/>
      </w:rPr>
    </w:lvl>
  </w:abstractNum>
  <w:abstractNum w:abstractNumId="17">
    <w:nsid w:val="405367D5"/>
    <w:multiLevelType w:val="hybridMultilevel"/>
    <w:tmpl w:val="60261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1268A4"/>
    <w:multiLevelType w:val="hybridMultilevel"/>
    <w:tmpl w:val="BA46C840"/>
    <w:lvl w:ilvl="0" w:tplc="CF629DB6">
      <w:start w:val="1"/>
      <w:numFmt w:val="decimal"/>
      <w:lvlText w:val="%1."/>
      <w:lvlJc w:val="left"/>
      <w:pPr>
        <w:ind w:left="360" w:hanging="360"/>
      </w:pPr>
      <w:rPr>
        <w:rFonts w:asciiTheme="minorHAnsi" w:hAnsiTheme="minorHAnsi" w:hint="default"/>
        <w:b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526DE0"/>
    <w:multiLevelType w:val="hybridMultilevel"/>
    <w:tmpl w:val="04827300"/>
    <w:lvl w:ilvl="0" w:tplc="129EA6EE">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945BCE"/>
    <w:multiLevelType w:val="hybridMultilevel"/>
    <w:tmpl w:val="C97E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607507"/>
    <w:multiLevelType w:val="hybridMultilevel"/>
    <w:tmpl w:val="D2021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8E60A8"/>
    <w:multiLevelType w:val="hybridMultilevel"/>
    <w:tmpl w:val="D1844CF4"/>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92826"/>
    <w:multiLevelType w:val="hybridMultilevel"/>
    <w:tmpl w:val="C4D0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41211C"/>
    <w:multiLevelType w:val="hybridMultilevel"/>
    <w:tmpl w:val="B048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F334C1"/>
    <w:multiLevelType w:val="hybridMultilevel"/>
    <w:tmpl w:val="24E24D4C"/>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A01CF8"/>
    <w:multiLevelType w:val="hybridMultilevel"/>
    <w:tmpl w:val="4F44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E33BB"/>
    <w:multiLevelType w:val="hybridMultilevel"/>
    <w:tmpl w:val="22F0D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974D9"/>
    <w:multiLevelType w:val="hybridMultilevel"/>
    <w:tmpl w:val="CEB8DF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3119D5"/>
    <w:multiLevelType w:val="hybridMultilevel"/>
    <w:tmpl w:val="83BA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14"/>
  </w:num>
  <w:num w:numId="5">
    <w:abstractNumId w:val="4"/>
  </w:num>
  <w:num w:numId="6">
    <w:abstractNumId w:val="20"/>
  </w:num>
  <w:num w:numId="7">
    <w:abstractNumId w:val="10"/>
  </w:num>
  <w:num w:numId="8">
    <w:abstractNumId w:val="25"/>
  </w:num>
  <w:num w:numId="9">
    <w:abstractNumId w:val="10"/>
  </w:num>
  <w:num w:numId="10">
    <w:abstractNumId w:val="7"/>
  </w:num>
  <w:num w:numId="11">
    <w:abstractNumId w:val="13"/>
  </w:num>
  <w:num w:numId="12">
    <w:abstractNumId w:val="11"/>
  </w:num>
  <w:num w:numId="13">
    <w:abstractNumId w:val="29"/>
  </w:num>
  <w:num w:numId="14">
    <w:abstractNumId w:val="1"/>
  </w:num>
  <w:num w:numId="15">
    <w:abstractNumId w:val="26"/>
  </w:num>
  <w:num w:numId="16">
    <w:abstractNumId w:val="9"/>
  </w:num>
  <w:num w:numId="17">
    <w:abstractNumId w:val="22"/>
  </w:num>
  <w:num w:numId="18">
    <w:abstractNumId w:val="16"/>
  </w:num>
  <w:num w:numId="19">
    <w:abstractNumId w:val="3"/>
  </w:num>
  <w:num w:numId="20">
    <w:abstractNumId w:val="23"/>
  </w:num>
  <w:num w:numId="21">
    <w:abstractNumId w:val="24"/>
  </w:num>
  <w:num w:numId="22">
    <w:abstractNumId w:val="5"/>
  </w:num>
  <w:num w:numId="23">
    <w:abstractNumId w:val="1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2"/>
  </w:num>
  <w:num w:numId="27">
    <w:abstractNumId w:val="17"/>
  </w:num>
  <w:num w:numId="28">
    <w:abstractNumId w:val="21"/>
  </w:num>
  <w:num w:numId="29">
    <w:abstractNumId w:val="28"/>
  </w:num>
  <w:num w:numId="30">
    <w:abstractNumId w:val="27"/>
  </w:num>
  <w:num w:numId="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5273755-E360-4789-A9CA-BCC37F6AB449}"/>
    <w:docVar w:name="dgnword-eventsink" w:val="89963792"/>
  </w:docVars>
  <w:rsids>
    <w:rsidRoot w:val="00EC4B13"/>
    <w:rsid w:val="0000074E"/>
    <w:rsid w:val="00003029"/>
    <w:rsid w:val="00003D75"/>
    <w:rsid w:val="00004466"/>
    <w:rsid w:val="00004D0A"/>
    <w:rsid w:val="00013774"/>
    <w:rsid w:val="000148F0"/>
    <w:rsid w:val="00023DFB"/>
    <w:rsid w:val="00024440"/>
    <w:rsid w:val="00024F1A"/>
    <w:rsid w:val="00025705"/>
    <w:rsid w:val="000300D8"/>
    <w:rsid w:val="00054C5F"/>
    <w:rsid w:val="00056C15"/>
    <w:rsid w:val="00057860"/>
    <w:rsid w:val="00057F26"/>
    <w:rsid w:val="0006257A"/>
    <w:rsid w:val="00063E69"/>
    <w:rsid w:val="00065FE8"/>
    <w:rsid w:val="00067494"/>
    <w:rsid w:val="00077989"/>
    <w:rsid w:val="00081656"/>
    <w:rsid w:val="000820A0"/>
    <w:rsid w:val="000833B1"/>
    <w:rsid w:val="00086B6C"/>
    <w:rsid w:val="0008744A"/>
    <w:rsid w:val="00091E32"/>
    <w:rsid w:val="00096134"/>
    <w:rsid w:val="000A1A36"/>
    <w:rsid w:val="000B1AF4"/>
    <w:rsid w:val="000B2389"/>
    <w:rsid w:val="000B4840"/>
    <w:rsid w:val="000B4A3F"/>
    <w:rsid w:val="000C5081"/>
    <w:rsid w:val="000C7A1D"/>
    <w:rsid w:val="000C7DD9"/>
    <w:rsid w:val="000D1980"/>
    <w:rsid w:val="000D1A6E"/>
    <w:rsid w:val="000D72BC"/>
    <w:rsid w:val="000E2288"/>
    <w:rsid w:val="000F2C99"/>
    <w:rsid w:val="000F5EF2"/>
    <w:rsid w:val="000F610B"/>
    <w:rsid w:val="00103084"/>
    <w:rsid w:val="0010651B"/>
    <w:rsid w:val="001076E6"/>
    <w:rsid w:val="00122CD5"/>
    <w:rsid w:val="00122F9A"/>
    <w:rsid w:val="00124A09"/>
    <w:rsid w:val="00124A67"/>
    <w:rsid w:val="0013640E"/>
    <w:rsid w:val="00141715"/>
    <w:rsid w:val="00152A5A"/>
    <w:rsid w:val="00155AE5"/>
    <w:rsid w:val="0016273C"/>
    <w:rsid w:val="00162A39"/>
    <w:rsid w:val="00162FBF"/>
    <w:rsid w:val="00166729"/>
    <w:rsid w:val="00172D3D"/>
    <w:rsid w:val="001732A0"/>
    <w:rsid w:val="001763EA"/>
    <w:rsid w:val="001803F8"/>
    <w:rsid w:val="001861C0"/>
    <w:rsid w:val="001B22F4"/>
    <w:rsid w:val="001B4603"/>
    <w:rsid w:val="001B4814"/>
    <w:rsid w:val="001B484D"/>
    <w:rsid w:val="001B4D9C"/>
    <w:rsid w:val="001B5D8B"/>
    <w:rsid w:val="001B73CC"/>
    <w:rsid w:val="001B7669"/>
    <w:rsid w:val="001C0028"/>
    <w:rsid w:val="001C5685"/>
    <w:rsid w:val="001C6C82"/>
    <w:rsid w:val="001D2DE5"/>
    <w:rsid w:val="001F18EE"/>
    <w:rsid w:val="001F5A36"/>
    <w:rsid w:val="001F64D2"/>
    <w:rsid w:val="00200115"/>
    <w:rsid w:val="0021312B"/>
    <w:rsid w:val="00216163"/>
    <w:rsid w:val="002205C8"/>
    <w:rsid w:val="00220EC6"/>
    <w:rsid w:val="0022316D"/>
    <w:rsid w:val="00227F9F"/>
    <w:rsid w:val="00230440"/>
    <w:rsid w:val="0023794E"/>
    <w:rsid w:val="002430A6"/>
    <w:rsid w:val="002555CA"/>
    <w:rsid w:val="00261E7A"/>
    <w:rsid w:val="0026311C"/>
    <w:rsid w:val="002658CA"/>
    <w:rsid w:val="00281722"/>
    <w:rsid w:val="00281B03"/>
    <w:rsid w:val="00293CF8"/>
    <w:rsid w:val="002A55D6"/>
    <w:rsid w:val="002A72E2"/>
    <w:rsid w:val="002B1B3A"/>
    <w:rsid w:val="002C0CA4"/>
    <w:rsid w:val="002C3D0E"/>
    <w:rsid w:val="002D5C74"/>
    <w:rsid w:val="002F1763"/>
    <w:rsid w:val="002F20A3"/>
    <w:rsid w:val="002F3EB3"/>
    <w:rsid w:val="002F7385"/>
    <w:rsid w:val="00306080"/>
    <w:rsid w:val="00310DEB"/>
    <w:rsid w:val="00311EE3"/>
    <w:rsid w:val="0031444D"/>
    <w:rsid w:val="00315A30"/>
    <w:rsid w:val="003162F6"/>
    <w:rsid w:val="00317F8E"/>
    <w:rsid w:val="003250DA"/>
    <w:rsid w:val="00327CFD"/>
    <w:rsid w:val="00332166"/>
    <w:rsid w:val="00337C10"/>
    <w:rsid w:val="00340414"/>
    <w:rsid w:val="0034236C"/>
    <w:rsid w:val="00342657"/>
    <w:rsid w:val="00342AC8"/>
    <w:rsid w:val="003441DA"/>
    <w:rsid w:val="00363014"/>
    <w:rsid w:val="00365D0B"/>
    <w:rsid w:val="00370CCC"/>
    <w:rsid w:val="0037388A"/>
    <w:rsid w:val="003740BD"/>
    <w:rsid w:val="0037794B"/>
    <w:rsid w:val="00382716"/>
    <w:rsid w:val="00382FFD"/>
    <w:rsid w:val="00387372"/>
    <w:rsid w:val="00394BBB"/>
    <w:rsid w:val="00395659"/>
    <w:rsid w:val="003979FD"/>
    <w:rsid w:val="003A23F4"/>
    <w:rsid w:val="003A352D"/>
    <w:rsid w:val="003A5977"/>
    <w:rsid w:val="003A5EBB"/>
    <w:rsid w:val="003A7CC3"/>
    <w:rsid w:val="003B1E27"/>
    <w:rsid w:val="003C02F4"/>
    <w:rsid w:val="003D7BAB"/>
    <w:rsid w:val="003E30F4"/>
    <w:rsid w:val="003E3858"/>
    <w:rsid w:val="003F14FF"/>
    <w:rsid w:val="00402638"/>
    <w:rsid w:val="004058B4"/>
    <w:rsid w:val="00407922"/>
    <w:rsid w:val="00411488"/>
    <w:rsid w:val="00423AD9"/>
    <w:rsid w:val="00424B64"/>
    <w:rsid w:val="00433AD7"/>
    <w:rsid w:val="00433D2F"/>
    <w:rsid w:val="0043781E"/>
    <w:rsid w:val="00441BA9"/>
    <w:rsid w:val="0044528B"/>
    <w:rsid w:val="004468BD"/>
    <w:rsid w:val="00462AED"/>
    <w:rsid w:val="004645F5"/>
    <w:rsid w:val="00470016"/>
    <w:rsid w:val="0047068E"/>
    <w:rsid w:val="004740C9"/>
    <w:rsid w:val="00476B1B"/>
    <w:rsid w:val="004810FF"/>
    <w:rsid w:val="00482130"/>
    <w:rsid w:val="00482586"/>
    <w:rsid w:val="00492443"/>
    <w:rsid w:val="00493269"/>
    <w:rsid w:val="004A58BF"/>
    <w:rsid w:val="004B3A78"/>
    <w:rsid w:val="004C6936"/>
    <w:rsid w:val="004C6CD6"/>
    <w:rsid w:val="004D3FF8"/>
    <w:rsid w:val="004D51D9"/>
    <w:rsid w:val="004D5C60"/>
    <w:rsid w:val="004E2F91"/>
    <w:rsid w:val="004F5A1E"/>
    <w:rsid w:val="00507764"/>
    <w:rsid w:val="00513BD2"/>
    <w:rsid w:val="00514F58"/>
    <w:rsid w:val="00515897"/>
    <w:rsid w:val="005303B8"/>
    <w:rsid w:val="0053274F"/>
    <w:rsid w:val="00532C4D"/>
    <w:rsid w:val="005407B9"/>
    <w:rsid w:val="00542EA3"/>
    <w:rsid w:val="00542ED2"/>
    <w:rsid w:val="005432B8"/>
    <w:rsid w:val="005438D2"/>
    <w:rsid w:val="0054555C"/>
    <w:rsid w:val="005579B9"/>
    <w:rsid w:val="00561B2E"/>
    <w:rsid w:val="00574F7F"/>
    <w:rsid w:val="005847F2"/>
    <w:rsid w:val="005B0A4D"/>
    <w:rsid w:val="005B2C53"/>
    <w:rsid w:val="005C10F3"/>
    <w:rsid w:val="005C16CD"/>
    <w:rsid w:val="005C3F82"/>
    <w:rsid w:val="005C5E9F"/>
    <w:rsid w:val="005C6F95"/>
    <w:rsid w:val="005D5848"/>
    <w:rsid w:val="005D7C0E"/>
    <w:rsid w:val="005E591E"/>
    <w:rsid w:val="005F1DE7"/>
    <w:rsid w:val="005F52E7"/>
    <w:rsid w:val="006049EB"/>
    <w:rsid w:val="006054CE"/>
    <w:rsid w:val="00607831"/>
    <w:rsid w:val="00614811"/>
    <w:rsid w:val="006237B8"/>
    <w:rsid w:val="00623FFC"/>
    <w:rsid w:val="00624CFF"/>
    <w:rsid w:val="00627BF7"/>
    <w:rsid w:val="0063403F"/>
    <w:rsid w:val="00637104"/>
    <w:rsid w:val="00640ACE"/>
    <w:rsid w:val="006421B3"/>
    <w:rsid w:val="00650D95"/>
    <w:rsid w:val="00656D5B"/>
    <w:rsid w:val="00665B99"/>
    <w:rsid w:val="006670F9"/>
    <w:rsid w:val="0067272C"/>
    <w:rsid w:val="00676304"/>
    <w:rsid w:val="006772AD"/>
    <w:rsid w:val="0068141E"/>
    <w:rsid w:val="0068336F"/>
    <w:rsid w:val="0069279D"/>
    <w:rsid w:val="006A3027"/>
    <w:rsid w:val="006B127D"/>
    <w:rsid w:val="006B1C7D"/>
    <w:rsid w:val="006B68F4"/>
    <w:rsid w:val="006C29DB"/>
    <w:rsid w:val="006C3320"/>
    <w:rsid w:val="006D6678"/>
    <w:rsid w:val="006F0FC2"/>
    <w:rsid w:val="006F1312"/>
    <w:rsid w:val="006F472B"/>
    <w:rsid w:val="00701C3F"/>
    <w:rsid w:val="00704937"/>
    <w:rsid w:val="00705031"/>
    <w:rsid w:val="007064DF"/>
    <w:rsid w:val="00707471"/>
    <w:rsid w:val="00721817"/>
    <w:rsid w:val="00722C81"/>
    <w:rsid w:val="00727AB6"/>
    <w:rsid w:val="00730584"/>
    <w:rsid w:val="00733C97"/>
    <w:rsid w:val="00737D78"/>
    <w:rsid w:val="007418B9"/>
    <w:rsid w:val="00743EFE"/>
    <w:rsid w:val="00751CB3"/>
    <w:rsid w:val="00763E7E"/>
    <w:rsid w:val="00766B26"/>
    <w:rsid w:val="007719E0"/>
    <w:rsid w:val="00771ED9"/>
    <w:rsid w:val="00775018"/>
    <w:rsid w:val="007775DA"/>
    <w:rsid w:val="00791F04"/>
    <w:rsid w:val="00794EFA"/>
    <w:rsid w:val="007951B8"/>
    <w:rsid w:val="007B09FA"/>
    <w:rsid w:val="007C29F5"/>
    <w:rsid w:val="007D4E38"/>
    <w:rsid w:val="007E6C68"/>
    <w:rsid w:val="007E77D0"/>
    <w:rsid w:val="007F291C"/>
    <w:rsid w:val="007F2AB2"/>
    <w:rsid w:val="00807D6E"/>
    <w:rsid w:val="008105CD"/>
    <w:rsid w:val="00811CB7"/>
    <w:rsid w:val="00815FDE"/>
    <w:rsid w:val="00820497"/>
    <w:rsid w:val="008210C2"/>
    <w:rsid w:val="008279B9"/>
    <w:rsid w:val="00834879"/>
    <w:rsid w:val="0084759D"/>
    <w:rsid w:val="00847DD6"/>
    <w:rsid w:val="00852AC8"/>
    <w:rsid w:val="00853E69"/>
    <w:rsid w:val="00861589"/>
    <w:rsid w:val="008709C1"/>
    <w:rsid w:val="0087471F"/>
    <w:rsid w:val="00874A7E"/>
    <w:rsid w:val="00874B63"/>
    <w:rsid w:val="008840B4"/>
    <w:rsid w:val="0088777E"/>
    <w:rsid w:val="008A23AC"/>
    <w:rsid w:val="008A67C2"/>
    <w:rsid w:val="008B404C"/>
    <w:rsid w:val="008C5624"/>
    <w:rsid w:val="008C7F4F"/>
    <w:rsid w:val="008D2EA4"/>
    <w:rsid w:val="008D491D"/>
    <w:rsid w:val="008D6485"/>
    <w:rsid w:val="008D6FC2"/>
    <w:rsid w:val="008D7219"/>
    <w:rsid w:val="008E3E3D"/>
    <w:rsid w:val="008F32CC"/>
    <w:rsid w:val="008F4888"/>
    <w:rsid w:val="00917A69"/>
    <w:rsid w:val="00921D6B"/>
    <w:rsid w:val="00925370"/>
    <w:rsid w:val="0092695B"/>
    <w:rsid w:val="00927CCB"/>
    <w:rsid w:val="00947F0D"/>
    <w:rsid w:val="00954317"/>
    <w:rsid w:val="009556A4"/>
    <w:rsid w:val="009566AF"/>
    <w:rsid w:val="009740A2"/>
    <w:rsid w:val="00975E3C"/>
    <w:rsid w:val="009842AC"/>
    <w:rsid w:val="00993D2C"/>
    <w:rsid w:val="009A15CC"/>
    <w:rsid w:val="009A3646"/>
    <w:rsid w:val="009A5807"/>
    <w:rsid w:val="009A62FA"/>
    <w:rsid w:val="009B46F0"/>
    <w:rsid w:val="009B7AEA"/>
    <w:rsid w:val="009C2D19"/>
    <w:rsid w:val="009C6F11"/>
    <w:rsid w:val="009D1A1F"/>
    <w:rsid w:val="009D3C29"/>
    <w:rsid w:val="009D6A63"/>
    <w:rsid w:val="009E5292"/>
    <w:rsid w:val="009F0ACB"/>
    <w:rsid w:val="009F5897"/>
    <w:rsid w:val="00A02486"/>
    <w:rsid w:val="00A11F86"/>
    <w:rsid w:val="00A12C72"/>
    <w:rsid w:val="00A20272"/>
    <w:rsid w:val="00A20BFF"/>
    <w:rsid w:val="00A26B45"/>
    <w:rsid w:val="00A27251"/>
    <w:rsid w:val="00A41114"/>
    <w:rsid w:val="00A450DB"/>
    <w:rsid w:val="00A458A8"/>
    <w:rsid w:val="00A463E5"/>
    <w:rsid w:val="00A507E1"/>
    <w:rsid w:val="00A5518D"/>
    <w:rsid w:val="00A55F5F"/>
    <w:rsid w:val="00A60529"/>
    <w:rsid w:val="00A61E25"/>
    <w:rsid w:val="00A62581"/>
    <w:rsid w:val="00A675F9"/>
    <w:rsid w:val="00A70710"/>
    <w:rsid w:val="00A70F2F"/>
    <w:rsid w:val="00A724D3"/>
    <w:rsid w:val="00A751E1"/>
    <w:rsid w:val="00A760FE"/>
    <w:rsid w:val="00A810A6"/>
    <w:rsid w:val="00A81903"/>
    <w:rsid w:val="00A827FA"/>
    <w:rsid w:val="00A82EFF"/>
    <w:rsid w:val="00A8396E"/>
    <w:rsid w:val="00A83D4F"/>
    <w:rsid w:val="00A84C75"/>
    <w:rsid w:val="00A86C2C"/>
    <w:rsid w:val="00A9117E"/>
    <w:rsid w:val="00AA1477"/>
    <w:rsid w:val="00AA2174"/>
    <w:rsid w:val="00AB35C1"/>
    <w:rsid w:val="00AB6271"/>
    <w:rsid w:val="00AC27F4"/>
    <w:rsid w:val="00AC3A0C"/>
    <w:rsid w:val="00AC5D62"/>
    <w:rsid w:val="00AC6E64"/>
    <w:rsid w:val="00AD639E"/>
    <w:rsid w:val="00AE12F3"/>
    <w:rsid w:val="00AF0DC4"/>
    <w:rsid w:val="00AF4346"/>
    <w:rsid w:val="00B00B87"/>
    <w:rsid w:val="00B21F01"/>
    <w:rsid w:val="00B2289E"/>
    <w:rsid w:val="00B25B51"/>
    <w:rsid w:val="00B45732"/>
    <w:rsid w:val="00B45DC0"/>
    <w:rsid w:val="00B477D0"/>
    <w:rsid w:val="00B516D6"/>
    <w:rsid w:val="00B538D5"/>
    <w:rsid w:val="00B624C2"/>
    <w:rsid w:val="00B633DD"/>
    <w:rsid w:val="00B77F5A"/>
    <w:rsid w:val="00B87A10"/>
    <w:rsid w:val="00B96F1E"/>
    <w:rsid w:val="00B97D11"/>
    <w:rsid w:val="00B97FBD"/>
    <w:rsid w:val="00BA0A4B"/>
    <w:rsid w:val="00BA1B11"/>
    <w:rsid w:val="00BA1DF9"/>
    <w:rsid w:val="00BA54C9"/>
    <w:rsid w:val="00BA6278"/>
    <w:rsid w:val="00BB2E47"/>
    <w:rsid w:val="00BC0874"/>
    <w:rsid w:val="00BE18BA"/>
    <w:rsid w:val="00BE615F"/>
    <w:rsid w:val="00BE77B0"/>
    <w:rsid w:val="00BE7C42"/>
    <w:rsid w:val="00BF2F8F"/>
    <w:rsid w:val="00C07F98"/>
    <w:rsid w:val="00C122A8"/>
    <w:rsid w:val="00C123A0"/>
    <w:rsid w:val="00C134CE"/>
    <w:rsid w:val="00C13D3F"/>
    <w:rsid w:val="00C15532"/>
    <w:rsid w:val="00C17C1C"/>
    <w:rsid w:val="00C202E2"/>
    <w:rsid w:val="00C215C1"/>
    <w:rsid w:val="00C2332D"/>
    <w:rsid w:val="00C23869"/>
    <w:rsid w:val="00C25F1E"/>
    <w:rsid w:val="00C2724A"/>
    <w:rsid w:val="00C329D8"/>
    <w:rsid w:val="00C33CDF"/>
    <w:rsid w:val="00C33D75"/>
    <w:rsid w:val="00C401EA"/>
    <w:rsid w:val="00C64A4C"/>
    <w:rsid w:val="00C65B7E"/>
    <w:rsid w:val="00C707A3"/>
    <w:rsid w:val="00C711E5"/>
    <w:rsid w:val="00C72163"/>
    <w:rsid w:val="00C74A7F"/>
    <w:rsid w:val="00C7713A"/>
    <w:rsid w:val="00C82FD3"/>
    <w:rsid w:val="00C87B1D"/>
    <w:rsid w:val="00C901EA"/>
    <w:rsid w:val="00CA6D95"/>
    <w:rsid w:val="00CB1950"/>
    <w:rsid w:val="00CC678F"/>
    <w:rsid w:val="00CD153A"/>
    <w:rsid w:val="00CF08BF"/>
    <w:rsid w:val="00D109C4"/>
    <w:rsid w:val="00D114C4"/>
    <w:rsid w:val="00D14129"/>
    <w:rsid w:val="00D16789"/>
    <w:rsid w:val="00D20537"/>
    <w:rsid w:val="00D20840"/>
    <w:rsid w:val="00D262C1"/>
    <w:rsid w:val="00D27CAC"/>
    <w:rsid w:val="00D464DF"/>
    <w:rsid w:val="00D51074"/>
    <w:rsid w:val="00D52CE5"/>
    <w:rsid w:val="00D54D0B"/>
    <w:rsid w:val="00D6213D"/>
    <w:rsid w:val="00D6624D"/>
    <w:rsid w:val="00D81D0C"/>
    <w:rsid w:val="00D83065"/>
    <w:rsid w:val="00D93AF7"/>
    <w:rsid w:val="00DA5311"/>
    <w:rsid w:val="00DA722D"/>
    <w:rsid w:val="00DB33BF"/>
    <w:rsid w:val="00DC1E85"/>
    <w:rsid w:val="00DC2062"/>
    <w:rsid w:val="00DD3CB4"/>
    <w:rsid w:val="00DD3CD4"/>
    <w:rsid w:val="00DD4F9E"/>
    <w:rsid w:val="00DE2783"/>
    <w:rsid w:val="00DE6011"/>
    <w:rsid w:val="00DF0F8A"/>
    <w:rsid w:val="00DF3C5E"/>
    <w:rsid w:val="00DF5614"/>
    <w:rsid w:val="00DF650D"/>
    <w:rsid w:val="00E0056F"/>
    <w:rsid w:val="00E0525B"/>
    <w:rsid w:val="00E0747A"/>
    <w:rsid w:val="00E07DE0"/>
    <w:rsid w:val="00E21A5D"/>
    <w:rsid w:val="00E239E4"/>
    <w:rsid w:val="00E23BBE"/>
    <w:rsid w:val="00E25C00"/>
    <w:rsid w:val="00E2764D"/>
    <w:rsid w:val="00E329EE"/>
    <w:rsid w:val="00E336F3"/>
    <w:rsid w:val="00E373A2"/>
    <w:rsid w:val="00E44F8E"/>
    <w:rsid w:val="00E4660A"/>
    <w:rsid w:val="00E50B85"/>
    <w:rsid w:val="00E558F4"/>
    <w:rsid w:val="00E61C7C"/>
    <w:rsid w:val="00E62684"/>
    <w:rsid w:val="00E6382E"/>
    <w:rsid w:val="00E63A09"/>
    <w:rsid w:val="00E75A20"/>
    <w:rsid w:val="00E772DB"/>
    <w:rsid w:val="00E8160C"/>
    <w:rsid w:val="00E81F8D"/>
    <w:rsid w:val="00E8601B"/>
    <w:rsid w:val="00E923BF"/>
    <w:rsid w:val="00E92671"/>
    <w:rsid w:val="00E93E65"/>
    <w:rsid w:val="00E9750F"/>
    <w:rsid w:val="00EA0845"/>
    <w:rsid w:val="00EA6E4F"/>
    <w:rsid w:val="00EA735A"/>
    <w:rsid w:val="00EB24A5"/>
    <w:rsid w:val="00EC2B32"/>
    <w:rsid w:val="00EC4B13"/>
    <w:rsid w:val="00ED0FC2"/>
    <w:rsid w:val="00ED3D98"/>
    <w:rsid w:val="00EE41B6"/>
    <w:rsid w:val="00EE604B"/>
    <w:rsid w:val="00EF4B37"/>
    <w:rsid w:val="00EF5683"/>
    <w:rsid w:val="00F0047D"/>
    <w:rsid w:val="00F052A2"/>
    <w:rsid w:val="00F12661"/>
    <w:rsid w:val="00F129C9"/>
    <w:rsid w:val="00F151F7"/>
    <w:rsid w:val="00F26B2C"/>
    <w:rsid w:val="00F27ADF"/>
    <w:rsid w:val="00F302E7"/>
    <w:rsid w:val="00F4362B"/>
    <w:rsid w:val="00F45287"/>
    <w:rsid w:val="00F4654C"/>
    <w:rsid w:val="00F5176C"/>
    <w:rsid w:val="00F56BED"/>
    <w:rsid w:val="00F6611F"/>
    <w:rsid w:val="00F9501C"/>
    <w:rsid w:val="00F977AB"/>
    <w:rsid w:val="00FB1D55"/>
    <w:rsid w:val="00FC247E"/>
    <w:rsid w:val="00FC29A2"/>
    <w:rsid w:val="00FC5B5B"/>
    <w:rsid w:val="00FC5DE3"/>
    <w:rsid w:val="00FD513B"/>
    <w:rsid w:val="00FE0059"/>
    <w:rsid w:val="00FE4ECC"/>
    <w:rsid w:val="00FF4A37"/>
    <w:rsid w:val="00FF4C44"/>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C0D5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63E7E"/>
  </w:style>
  <w:style w:type="paragraph" w:styleId="Heading1">
    <w:name w:val="heading 1"/>
    <w:basedOn w:val="Normal"/>
    <w:next w:val="Normal"/>
    <w:link w:val="Heading1Char"/>
    <w:uiPriority w:val="9"/>
    <w:qFormat/>
    <w:rsid w:val="001B5D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E6C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B5D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E64"/>
    <w:pPr>
      <w:spacing w:after="0" w:line="240" w:lineRule="auto"/>
    </w:pPr>
    <w:rPr>
      <w:rFonts w:ascii="Times New Roman" w:hAnsi="Times New Roman" w:cs="Times New Roman"/>
      <w:sz w:val="24"/>
      <w:szCs w:val="24"/>
    </w:rPr>
  </w:style>
  <w:style w:type="table" w:styleId="TableGrid">
    <w:name w:val="Table Grid"/>
    <w:basedOn w:val="TableNormal"/>
    <w:uiPriority w:val="59"/>
    <w:rsid w:val="00EC4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AF7"/>
    <w:pPr>
      <w:ind w:left="720"/>
      <w:contextualSpacing/>
    </w:pPr>
  </w:style>
  <w:style w:type="paragraph" w:styleId="BalloonText">
    <w:name w:val="Balloon Text"/>
    <w:basedOn w:val="Normal"/>
    <w:link w:val="BalloonTextChar"/>
    <w:uiPriority w:val="99"/>
    <w:semiHidden/>
    <w:unhideWhenUsed/>
    <w:rsid w:val="00BE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5F"/>
    <w:rPr>
      <w:rFonts w:ascii="Tahoma" w:hAnsi="Tahoma" w:cs="Tahoma"/>
      <w:sz w:val="16"/>
      <w:szCs w:val="16"/>
    </w:rPr>
  </w:style>
  <w:style w:type="paragraph" w:styleId="Header">
    <w:name w:val="header"/>
    <w:basedOn w:val="Normal"/>
    <w:link w:val="HeaderChar"/>
    <w:unhideWhenUsed/>
    <w:rsid w:val="00BE6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15F"/>
  </w:style>
  <w:style w:type="paragraph" w:styleId="Footer">
    <w:name w:val="footer"/>
    <w:basedOn w:val="Normal"/>
    <w:link w:val="FooterChar"/>
    <w:uiPriority w:val="99"/>
    <w:unhideWhenUsed/>
    <w:rsid w:val="00BE6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15F"/>
  </w:style>
  <w:style w:type="paragraph" w:styleId="NormalWeb">
    <w:name w:val="Normal (Web)"/>
    <w:basedOn w:val="Normal"/>
    <w:uiPriority w:val="99"/>
    <w:semiHidden/>
    <w:unhideWhenUsed/>
    <w:rsid w:val="007E6C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6C68"/>
    <w:rPr>
      <w:b/>
      <w:bCs/>
    </w:rPr>
  </w:style>
  <w:style w:type="character" w:customStyle="1" w:styleId="Heading2Char">
    <w:name w:val="Heading 2 Char"/>
    <w:basedOn w:val="DefaultParagraphFont"/>
    <w:link w:val="Heading2"/>
    <w:uiPriority w:val="9"/>
    <w:rsid w:val="007E6C6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E6C68"/>
  </w:style>
  <w:style w:type="character" w:styleId="Hyperlink">
    <w:name w:val="Hyperlink"/>
    <w:basedOn w:val="DefaultParagraphFont"/>
    <w:uiPriority w:val="99"/>
    <w:unhideWhenUsed/>
    <w:rsid w:val="007E6C68"/>
    <w:rPr>
      <w:color w:val="0000FF"/>
      <w:u w:val="single"/>
    </w:rPr>
  </w:style>
  <w:style w:type="character" w:styleId="FollowedHyperlink">
    <w:name w:val="FollowedHyperlink"/>
    <w:basedOn w:val="DefaultParagraphFont"/>
    <w:uiPriority w:val="99"/>
    <w:semiHidden/>
    <w:unhideWhenUsed/>
    <w:rsid w:val="007E6C68"/>
    <w:rPr>
      <w:color w:val="800080" w:themeColor="followedHyperlink"/>
      <w:u w:val="single"/>
    </w:rPr>
  </w:style>
  <w:style w:type="paragraph" w:customStyle="1" w:styleId="2Nospacing">
    <w:name w:val="2 No spacing"/>
    <w:basedOn w:val="NoSpacing"/>
    <w:link w:val="2NospacingChar"/>
    <w:qFormat/>
    <w:rsid w:val="00A751E1"/>
    <w:rPr>
      <w:rFonts w:asciiTheme="minorHAnsi" w:hAnsiTheme="minorHAnsi"/>
    </w:rPr>
  </w:style>
  <w:style w:type="character" w:customStyle="1" w:styleId="2NospacingChar">
    <w:name w:val="2 No spacing Char"/>
    <w:basedOn w:val="DefaultParagraphFont"/>
    <w:link w:val="2Nospacing"/>
    <w:rsid w:val="00A751E1"/>
    <w:rPr>
      <w:rFonts w:cs="Times New Roman"/>
      <w:sz w:val="24"/>
      <w:szCs w:val="24"/>
    </w:rPr>
  </w:style>
  <w:style w:type="paragraph" w:customStyle="1" w:styleId="Default">
    <w:name w:val="Default"/>
    <w:rsid w:val="00AF0DC4"/>
    <w:pPr>
      <w:autoSpaceDE w:val="0"/>
      <w:autoSpaceDN w:val="0"/>
      <w:adjustRightInd w:val="0"/>
      <w:spacing w:after="0" w:line="240" w:lineRule="auto"/>
    </w:pPr>
    <w:rPr>
      <w:rFonts w:ascii="Palatino" w:hAnsi="Palatino" w:cs="Palatino"/>
      <w:color w:val="000000"/>
      <w:sz w:val="24"/>
      <w:szCs w:val="24"/>
    </w:rPr>
  </w:style>
  <w:style w:type="paragraph" w:styleId="BodyText">
    <w:name w:val="Body Text"/>
    <w:basedOn w:val="Normal"/>
    <w:link w:val="BodyTextChar"/>
    <w:rsid w:val="00D5107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51074"/>
    <w:rPr>
      <w:rFonts w:ascii="Times New Roman" w:eastAsia="Times New Roman" w:hAnsi="Times New Roman" w:cs="Times New Roman"/>
      <w:sz w:val="24"/>
      <w:szCs w:val="20"/>
    </w:rPr>
  </w:style>
  <w:style w:type="character" w:customStyle="1" w:styleId="st">
    <w:name w:val="st"/>
    <w:basedOn w:val="DefaultParagraphFont"/>
    <w:rsid w:val="000B4A3F"/>
  </w:style>
  <w:style w:type="character" w:styleId="Emphasis">
    <w:name w:val="Emphasis"/>
    <w:basedOn w:val="DefaultParagraphFont"/>
    <w:uiPriority w:val="20"/>
    <w:qFormat/>
    <w:rsid w:val="000B4A3F"/>
    <w:rPr>
      <w:i/>
      <w:iCs/>
    </w:rPr>
  </w:style>
  <w:style w:type="character" w:customStyle="1" w:styleId="Heading1Char">
    <w:name w:val="Heading 1 Char"/>
    <w:basedOn w:val="DefaultParagraphFont"/>
    <w:link w:val="Heading1"/>
    <w:uiPriority w:val="9"/>
    <w:rsid w:val="001B5D8B"/>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1B5D8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5D8B"/>
    <w:rPr>
      <w:rFonts w:eastAsiaTheme="minorEastAsia"/>
      <w:color w:val="5A5A5A" w:themeColor="text1" w:themeTint="A5"/>
      <w:spacing w:val="15"/>
    </w:rPr>
  </w:style>
  <w:style w:type="paragraph" w:styleId="Title">
    <w:name w:val="Title"/>
    <w:basedOn w:val="Normal"/>
    <w:next w:val="Normal"/>
    <w:link w:val="TitleChar"/>
    <w:uiPriority w:val="10"/>
    <w:qFormat/>
    <w:rsid w:val="001B5D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D8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B5D8B"/>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1B5D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5150">
      <w:bodyDiv w:val="1"/>
      <w:marLeft w:val="0"/>
      <w:marRight w:val="0"/>
      <w:marTop w:val="0"/>
      <w:marBottom w:val="0"/>
      <w:divBdr>
        <w:top w:val="none" w:sz="0" w:space="0" w:color="auto"/>
        <w:left w:val="none" w:sz="0" w:space="0" w:color="auto"/>
        <w:bottom w:val="none" w:sz="0" w:space="0" w:color="auto"/>
        <w:right w:val="none" w:sz="0" w:space="0" w:color="auto"/>
      </w:divBdr>
    </w:div>
    <w:div w:id="627245962">
      <w:bodyDiv w:val="1"/>
      <w:marLeft w:val="0"/>
      <w:marRight w:val="0"/>
      <w:marTop w:val="0"/>
      <w:marBottom w:val="0"/>
      <w:divBdr>
        <w:top w:val="none" w:sz="0" w:space="0" w:color="auto"/>
        <w:left w:val="none" w:sz="0" w:space="0" w:color="auto"/>
        <w:bottom w:val="none" w:sz="0" w:space="0" w:color="auto"/>
        <w:right w:val="none" w:sz="0" w:space="0" w:color="auto"/>
      </w:divBdr>
    </w:div>
    <w:div w:id="767308700">
      <w:bodyDiv w:val="1"/>
      <w:marLeft w:val="0"/>
      <w:marRight w:val="0"/>
      <w:marTop w:val="0"/>
      <w:marBottom w:val="0"/>
      <w:divBdr>
        <w:top w:val="none" w:sz="0" w:space="0" w:color="auto"/>
        <w:left w:val="none" w:sz="0" w:space="0" w:color="auto"/>
        <w:bottom w:val="none" w:sz="0" w:space="0" w:color="auto"/>
        <w:right w:val="none" w:sz="0" w:space="0" w:color="auto"/>
      </w:divBdr>
    </w:div>
    <w:div w:id="1026904802">
      <w:bodyDiv w:val="1"/>
      <w:marLeft w:val="0"/>
      <w:marRight w:val="0"/>
      <w:marTop w:val="0"/>
      <w:marBottom w:val="0"/>
      <w:divBdr>
        <w:top w:val="none" w:sz="0" w:space="0" w:color="auto"/>
        <w:left w:val="none" w:sz="0" w:space="0" w:color="auto"/>
        <w:bottom w:val="none" w:sz="0" w:space="0" w:color="auto"/>
        <w:right w:val="none" w:sz="0" w:space="0" w:color="auto"/>
      </w:divBdr>
    </w:div>
    <w:div w:id="1158302855">
      <w:bodyDiv w:val="1"/>
      <w:marLeft w:val="0"/>
      <w:marRight w:val="0"/>
      <w:marTop w:val="0"/>
      <w:marBottom w:val="0"/>
      <w:divBdr>
        <w:top w:val="none" w:sz="0" w:space="0" w:color="auto"/>
        <w:left w:val="none" w:sz="0" w:space="0" w:color="auto"/>
        <w:bottom w:val="none" w:sz="0" w:space="0" w:color="auto"/>
        <w:right w:val="none" w:sz="0" w:space="0" w:color="auto"/>
      </w:divBdr>
    </w:div>
    <w:div w:id="1301812409">
      <w:bodyDiv w:val="1"/>
      <w:marLeft w:val="0"/>
      <w:marRight w:val="0"/>
      <w:marTop w:val="0"/>
      <w:marBottom w:val="0"/>
      <w:divBdr>
        <w:top w:val="none" w:sz="0" w:space="0" w:color="auto"/>
        <w:left w:val="none" w:sz="0" w:space="0" w:color="auto"/>
        <w:bottom w:val="none" w:sz="0" w:space="0" w:color="auto"/>
        <w:right w:val="none" w:sz="0" w:space="0" w:color="auto"/>
      </w:divBdr>
    </w:div>
    <w:div w:id="1736708251">
      <w:bodyDiv w:val="1"/>
      <w:marLeft w:val="0"/>
      <w:marRight w:val="0"/>
      <w:marTop w:val="0"/>
      <w:marBottom w:val="0"/>
      <w:divBdr>
        <w:top w:val="none" w:sz="0" w:space="0" w:color="auto"/>
        <w:left w:val="none" w:sz="0" w:space="0" w:color="auto"/>
        <w:bottom w:val="none" w:sz="0" w:space="0" w:color="auto"/>
        <w:right w:val="none" w:sz="0" w:space="0" w:color="auto"/>
      </w:divBdr>
      <w:divsChild>
        <w:div w:id="423190240">
          <w:marLeft w:val="0"/>
          <w:marRight w:val="120"/>
          <w:marTop w:val="0"/>
          <w:marBottom w:val="0"/>
          <w:divBdr>
            <w:top w:val="none" w:sz="0" w:space="0" w:color="auto"/>
            <w:left w:val="none" w:sz="0" w:space="0" w:color="auto"/>
            <w:bottom w:val="none" w:sz="0" w:space="0" w:color="auto"/>
            <w:right w:val="none" w:sz="0" w:space="0" w:color="auto"/>
          </w:divBdr>
        </w:div>
      </w:divsChild>
    </w:div>
    <w:div w:id="1847401031">
      <w:bodyDiv w:val="1"/>
      <w:marLeft w:val="0"/>
      <w:marRight w:val="0"/>
      <w:marTop w:val="0"/>
      <w:marBottom w:val="0"/>
      <w:divBdr>
        <w:top w:val="none" w:sz="0" w:space="0" w:color="auto"/>
        <w:left w:val="none" w:sz="0" w:space="0" w:color="auto"/>
        <w:bottom w:val="none" w:sz="0" w:space="0" w:color="auto"/>
        <w:right w:val="none" w:sz="0" w:space="0" w:color="auto"/>
      </w:divBdr>
    </w:div>
    <w:div w:id="1872526789">
      <w:bodyDiv w:val="1"/>
      <w:marLeft w:val="0"/>
      <w:marRight w:val="0"/>
      <w:marTop w:val="0"/>
      <w:marBottom w:val="0"/>
      <w:divBdr>
        <w:top w:val="none" w:sz="0" w:space="0" w:color="auto"/>
        <w:left w:val="none" w:sz="0" w:space="0" w:color="auto"/>
        <w:bottom w:val="none" w:sz="0" w:space="0" w:color="auto"/>
        <w:right w:val="none" w:sz="0" w:space="0" w:color="auto"/>
      </w:divBdr>
    </w:div>
    <w:div w:id="19854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outhernct.edu/faculty-staff/faculty-senate/" TargetMode="External"/><Relationship Id="rId9" Type="http://schemas.openxmlformats.org/officeDocument/2006/relationships/hyperlink" Target="http://www.southernct.edu/faculty-staff/faculty-senate/resolutionsbydate.html" TargetMode="External"/><Relationship Id="rId10" Type="http://schemas.openxmlformats.org/officeDocument/2006/relationships/hyperlink" Target="http://reflectiongarden.southernct.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A96C-BE5E-494C-A193-CA8FD9B7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1128</Words>
  <Characters>6433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Southern Connecticut State University</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Faraclas</dc:creator>
  <cp:keywords/>
  <dc:description/>
  <cp:lastModifiedBy>Diamantis, Maria</cp:lastModifiedBy>
  <cp:revision>4</cp:revision>
  <cp:lastPrinted>2017-03-08T14:40:00Z</cp:lastPrinted>
  <dcterms:created xsi:type="dcterms:W3CDTF">2017-03-08T03:06:00Z</dcterms:created>
  <dcterms:modified xsi:type="dcterms:W3CDTF">2017-03-09T11:33:00Z</dcterms:modified>
</cp:coreProperties>
</file>